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75491" w14:textId="77777777" w:rsidR="00584340" w:rsidRDefault="00584340">
      <w:pPr>
        <w:jc w:val="center"/>
        <w:rPr>
          <w:rFonts w:hint="eastAsia"/>
        </w:rPr>
      </w:pPr>
    </w:p>
    <w:p w14:paraId="3573F9DF" w14:textId="77777777" w:rsidR="00584340" w:rsidRDefault="00584340">
      <w:pPr>
        <w:jc w:val="center"/>
      </w:pPr>
    </w:p>
    <w:p w14:paraId="3D45A685" w14:textId="77777777" w:rsidR="00584340" w:rsidRDefault="00584340">
      <w:pPr>
        <w:jc w:val="center"/>
      </w:pPr>
    </w:p>
    <w:p w14:paraId="3412133C" w14:textId="77777777" w:rsidR="00584340" w:rsidRDefault="00584340">
      <w:pPr>
        <w:jc w:val="center"/>
      </w:pPr>
    </w:p>
    <w:p w14:paraId="3478B33F" w14:textId="77777777" w:rsidR="00584340" w:rsidRDefault="00584340">
      <w:pPr>
        <w:jc w:val="center"/>
      </w:pPr>
    </w:p>
    <w:p w14:paraId="1581588C" w14:textId="77777777" w:rsidR="00584340" w:rsidRDefault="00584340">
      <w:pPr>
        <w:jc w:val="center"/>
      </w:pPr>
    </w:p>
    <w:p w14:paraId="1E2EB27A" w14:textId="77777777" w:rsidR="00584340" w:rsidRDefault="00584340">
      <w:pPr>
        <w:jc w:val="center"/>
      </w:pPr>
    </w:p>
    <w:p w14:paraId="0081ADF8" w14:textId="77777777" w:rsidR="00584340" w:rsidRDefault="00584340">
      <w:pPr>
        <w:jc w:val="center"/>
      </w:pPr>
    </w:p>
    <w:p w14:paraId="09FBA6B0" w14:textId="4F727BC7" w:rsidR="00584340" w:rsidRDefault="00093594">
      <w:pPr>
        <w:jc w:val="center"/>
        <w:rPr>
          <w:b/>
          <w:bCs/>
          <w:sz w:val="32"/>
          <w:szCs w:val="32"/>
        </w:rPr>
      </w:pPr>
      <w:r>
        <w:rPr>
          <w:rFonts w:hint="eastAsia"/>
          <w:b/>
          <w:bCs/>
          <w:sz w:val="32"/>
          <w:szCs w:val="32"/>
        </w:rPr>
        <w:t>团体标准编制说明</w:t>
      </w:r>
    </w:p>
    <w:p w14:paraId="7603610C" w14:textId="28D7E202" w:rsidR="00E169BB" w:rsidRDefault="00E169BB">
      <w:pPr>
        <w:jc w:val="center"/>
        <w:rPr>
          <w:rFonts w:hint="eastAsia"/>
          <w:b/>
          <w:bCs/>
          <w:sz w:val="32"/>
          <w:szCs w:val="32"/>
        </w:rPr>
      </w:pPr>
      <w:r>
        <w:rPr>
          <w:rFonts w:hint="eastAsia"/>
          <w:b/>
          <w:bCs/>
          <w:sz w:val="32"/>
          <w:szCs w:val="32"/>
        </w:rPr>
        <w:t>（征求意见稿）</w:t>
      </w:r>
    </w:p>
    <w:p w14:paraId="16366C22" w14:textId="77777777" w:rsidR="00584340" w:rsidRDefault="00584340"/>
    <w:p w14:paraId="40DF0A30" w14:textId="77777777" w:rsidR="00584340" w:rsidRDefault="00584340"/>
    <w:p w14:paraId="4796AD9D" w14:textId="77777777" w:rsidR="00584340" w:rsidRDefault="00584340"/>
    <w:p w14:paraId="7A8F3DD8" w14:textId="77777777" w:rsidR="00584340" w:rsidRDefault="00584340"/>
    <w:p w14:paraId="64447131" w14:textId="77777777" w:rsidR="00584340" w:rsidRDefault="00584340"/>
    <w:p w14:paraId="30B74A08" w14:textId="77777777" w:rsidR="00584340" w:rsidRDefault="00584340"/>
    <w:p w14:paraId="029FD799" w14:textId="77777777" w:rsidR="00584340" w:rsidRDefault="00584340"/>
    <w:p w14:paraId="491EAF05" w14:textId="77777777" w:rsidR="00584340" w:rsidRDefault="00584340"/>
    <w:p w14:paraId="392D33A0" w14:textId="77777777" w:rsidR="00584340" w:rsidRDefault="00584340">
      <w:pPr>
        <w:jc w:val="center"/>
        <w:rPr>
          <w:szCs w:val="28"/>
        </w:rPr>
      </w:pPr>
    </w:p>
    <w:p w14:paraId="162265AF" w14:textId="58CD1A30" w:rsidR="00584340" w:rsidRPr="00E169BB" w:rsidRDefault="00093594">
      <w:pPr>
        <w:jc w:val="center"/>
        <w:rPr>
          <w:b/>
          <w:bCs/>
          <w:szCs w:val="28"/>
        </w:rPr>
      </w:pPr>
      <w:r w:rsidRPr="00E169BB">
        <w:rPr>
          <w:rFonts w:hint="eastAsia"/>
          <w:b/>
          <w:bCs/>
          <w:szCs w:val="28"/>
        </w:rPr>
        <w:t>二零二一年</w:t>
      </w:r>
      <w:r w:rsidR="00E169BB" w:rsidRPr="00E169BB">
        <w:rPr>
          <w:rFonts w:hint="eastAsia"/>
          <w:b/>
          <w:bCs/>
          <w:szCs w:val="28"/>
        </w:rPr>
        <w:t>七</w:t>
      </w:r>
      <w:r w:rsidRPr="00E169BB">
        <w:rPr>
          <w:rFonts w:hint="eastAsia"/>
          <w:b/>
          <w:bCs/>
          <w:szCs w:val="28"/>
        </w:rPr>
        <w:t>月</w:t>
      </w:r>
    </w:p>
    <w:p w14:paraId="40A394E9" w14:textId="77777777" w:rsidR="00584340" w:rsidRDefault="00584340">
      <w:pPr>
        <w:jc w:val="center"/>
        <w:rPr>
          <w:szCs w:val="28"/>
        </w:rPr>
        <w:sectPr w:rsidR="00584340">
          <w:footerReference w:type="default" r:id="rId8"/>
          <w:pgSz w:w="11906" w:h="16838"/>
          <w:pgMar w:top="1440" w:right="1800" w:bottom="1440" w:left="1800" w:header="851" w:footer="992" w:gutter="0"/>
          <w:cols w:space="425"/>
          <w:docGrid w:type="lines" w:linePitch="312"/>
        </w:sectPr>
      </w:pPr>
    </w:p>
    <w:p w14:paraId="5E947A2C" w14:textId="77777777" w:rsidR="00584340" w:rsidRDefault="00093594">
      <w:pPr>
        <w:pStyle w:val="ac"/>
      </w:pPr>
      <w:r>
        <w:rPr>
          <w:rFonts w:hint="eastAsia"/>
        </w:rPr>
        <w:lastRenderedPageBreak/>
        <w:t>团体标准编制说明</w:t>
      </w:r>
    </w:p>
    <w:p w14:paraId="011FC76D" w14:textId="77777777" w:rsidR="00584340" w:rsidRDefault="00093594" w:rsidP="00614A8E">
      <w:pPr>
        <w:pStyle w:val="af0"/>
        <w:numPr>
          <w:ilvl w:val="0"/>
          <w:numId w:val="3"/>
        </w:numPr>
        <w:spacing w:before="312" w:after="312"/>
      </w:pPr>
      <w:r>
        <w:rPr>
          <w:rFonts w:hint="eastAsia"/>
        </w:rPr>
        <w:t>任务来源</w:t>
      </w:r>
    </w:p>
    <w:p w14:paraId="1CAB0534" w14:textId="77777777" w:rsidR="00E169BB" w:rsidRPr="00E169BB" w:rsidRDefault="00E169BB" w:rsidP="00E169BB">
      <w:pPr>
        <w:ind w:firstLineChars="200" w:firstLine="560"/>
        <w:rPr>
          <w:rFonts w:hint="eastAsia"/>
        </w:rPr>
      </w:pPr>
      <w:r w:rsidRPr="00E169BB">
        <w:rPr>
          <w:rFonts w:hint="eastAsia"/>
        </w:rPr>
        <w:t>“共生优品”评价工作的是为了贯彻落实国家的高质量发展战略和工信部的“三品”战略</w:t>
      </w:r>
      <w:proofErr w:type="gramStart"/>
      <w:r w:rsidRPr="00E169BB">
        <w:rPr>
          <w:rFonts w:hint="eastAsia"/>
        </w:rPr>
        <w:t>”</w:t>
      </w:r>
      <w:proofErr w:type="gramEnd"/>
      <w:r w:rsidRPr="00E169BB">
        <w:rPr>
          <w:rFonts w:hint="eastAsia"/>
        </w:rPr>
        <w:t>而开展的，同时此项标准项目的建立也是为了摸索如何有效贯彻落实《关于促进团体标准规范优质发展的意见》（</w:t>
      </w:r>
      <w:proofErr w:type="gramStart"/>
      <w:r w:rsidRPr="00E169BB">
        <w:rPr>
          <w:rFonts w:hint="eastAsia"/>
        </w:rPr>
        <w:t>国标委联</w:t>
      </w:r>
      <w:proofErr w:type="gramEnd"/>
      <w:r w:rsidRPr="00E169BB">
        <w:rPr>
          <w:rFonts w:hint="eastAsia"/>
        </w:rPr>
        <w:t>（</w:t>
      </w:r>
      <w:r w:rsidRPr="00E169BB">
        <w:rPr>
          <w:rFonts w:hint="eastAsia"/>
        </w:rPr>
        <w:t>2022</w:t>
      </w:r>
      <w:r w:rsidRPr="00E169BB">
        <w:rPr>
          <w:rFonts w:hint="eastAsia"/>
        </w:rPr>
        <w:t>）</w:t>
      </w:r>
      <w:r w:rsidRPr="00E169BB">
        <w:rPr>
          <w:rFonts w:hint="eastAsia"/>
        </w:rPr>
        <w:t>6</w:t>
      </w:r>
      <w:r w:rsidRPr="00E169BB">
        <w:rPr>
          <w:rFonts w:hint="eastAsia"/>
        </w:rPr>
        <w:t>号）文件中，关于提升团体标准组织标准化工作能力、建立以需求为导向的团体</w:t>
      </w:r>
      <w:proofErr w:type="gramStart"/>
      <w:r w:rsidRPr="00E169BB">
        <w:rPr>
          <w:rFonts w:hint="eastAsia"/>
        </w:rPr>
        <w:t>标制定</w:t>
      </w:r>
      <w:proofErr w:type="gramEnd"/>
      <w:r w:rsidRPr="00E169BB">
        <w:rPr>
          <w:rFonts w:hint="eastAsia"/>
        </w:rPr>
        <w:t>模式、拓宽团体标准推广应用渠道等意见。</w:t>
      </w:r>
    </w:p>
    <w:p w14:paraId="49F85522" w14:textId="0C36BEBD" w:rsidR="00E169BB" w:rsidRDefault="00E169BB" w:rsidP="00E169BB">
      <w:pPr>
        <w:ind w:firstLineChars="200" w:firstLine="560"/>
        <w:rPr>
          <w:b/>
        </w:rPr>
      </w:pPr>
      <w:r w:rsidRPr="00E169BB">
        <w:rPr>
          <w:rFonts w:hint="eastAsia"/>
        </w:rPr>
        <w:t>中国五金制品协会与北京共生至道科技有限公司联合开展了“共生优品”的评价工作，并组织行业内龙头骨干企业共同编写《“共生优品”评价要求</w:t>
      </w:r>
      <w:r w:rsidRPr="00E169BB">
        <w:rPr>
          <w:rFonts w:hint="eastAsia"/>
        </w:rPr>
        <w:t xml:space="preserve">  </w:t>
      </w:r>
      <w:r w:rsidR="00C231CF">
        <w:rPr>
          <w:rFonts w:hint="eastAsia"/>
        </w:rPr>
        <w:t>家用燃气灶具</w:t>
      </w:r>
      <w:r w:rsidRPr="00E169BB">
        <w:rPr>
          <w:rFonts w:hint="eastAsia"/>
        </w:rPr>
        <w:t>》团体标准。</w:t>
      </w:r>
    </w:p>
    <w:p w14:paraId="11F8EF4C" w14:textId="7C46FA2C" w:rsidR="00584340" w:rsidRDefault="00093594" w:rsidP="00E169BB">
      <w:pPr>
        <w:pStyle w:val="af0"/>
        <w:spacing w:before="312" w:after="312"/>
      </w:pPr>
      <w:r>
        <w:rPr>
          <w:rFonts w:hint="eastAsia"/>
        </w:rPr>
        <w:t>二、本标准制定的目的和意义</w:t>
      </w:r>
    </w:p>
    <w:p w14:paraId="1600FBEC" w14:textId="77777777" w:rsidR="00614A8E" w:rsidRPr="00614A8E" w:rsidRDefault="00614A8E" w:rsidP="007C45C2">
      <w:pPr>
        <w:ind w:firstLineChars="200" w:firstLine="560"/>
      </w:pPr>
      <w:r w:rsidRPr="00614A8E">
        <w:rPr>
          <w:rFonts w:hint="eastAsia"/>
        </w:rPr>
        <w:t>目前国内市场各种“优品”、“严选”不断涌现，但是更多的都是商业化活动，缺乏严谨、公正、公平、公开的评价，对很多企业的正常营销造成了一定影响，我们这项评价活动，遵循科学严谨、公平公正的原则，以标准化为基础，联合专业检测机构和平台来开展和进行的，最终起到引领行业技术进步、品质提升和引领引导市场消费的目的。</w:t>
      </w:r>
    </w:p>
    <w:p w14:paraId="3ECD40E3" w14:textId="77777777" w:rsidR="00584340" w:rsidRDefault="00093594">
      <w:pPr>
        <w:pStyle w:val="af0"/>
        <w:spacing w:before="312" w:after="312"/>
      </w:pPr>
      <w:r>
        <w:rPr>
          <w:rFonts w:hint="eastAsia"/>
        </w:rPr>
        <w:t>三、标准编制的原则和主要内容的确定</w:t>
      </w:r>
    </w:p>
    <w:p w14:paraId="633F0820" w14:textId="77777777" w:rsidR="00584340" w:rsidRDefault="00614A8E">
      <w:pPr>
        <w:spacing w:beforeLines="100" w:before="312" w:line="360" w:lineRule="auto"/>
        <w:jc w:val="left"/>
        <w:rPr>
          <w:rFonts w:ascii="宋体" w:eastAsia="宋体" w:hAnsi="宋体"/>
          <w:b/>
          <w:bCs/>
          <w:szCs w:val="28"/>
        </w:rPr>
      </w:pPr>
      <w:r>
        <w:rPr>
          <w:rFonts w:ascii="宋体" w:eastAsia="宋体" w:hAnsi="宋体" w:hint="eastAsia"/>
          <w:b/>
          <w:bCs/>
          <w:szCs w:val="28"/>
        </w:rPr>
        <w:t>（一）标准的编制原则</w:t>
      </w:r>
    </w:p>
    <w:p w14:paraId="04278E4B" w14:textId="0594DB7D" w:rsidR="00614A8E" w:rsidRPr="00614A8E" w:rsidRDefault="00614A8E" w:rsidP="007C45C2">
      <w:bookmarkStart w:id="0" w:name="_Hlk109395451"/>
      <w:r>
        <w:rPr>
          <w:rFonts w:hint="eastAsia"/>
        </w:rPr>
        <w:t>1</w:t>
      </w:r>
      <w:r w:rsidR="007C45C2">
        <w:rPr>
          <w:rFonts w:hint="eastAsia"/>
        </w:rPr>
        <w:t>．</w:t>
      </w:r>
      <w:r w:rsidRPr="00614A8E">
        <w:rPr>
          <w:rFonts w:hint="eastAsia"/>
        </w:rPr>
        <w:t>代表性原则</w:t>
      </w:r>
    </w:p>
    <w:p w14:paraId="7C8A7E7A" w14:textId="77777777" w:rsidR="00614A8E" w:rsidRPr="00614A8E" w:rsidRDefault="00614A8E" w:rsidP="007C45C2">
      <w:r w:rsidRPr="00614A8E">
        <w:rPr>
          <w:rFonts w:hint="eastAsia"/>
        </w:rPr>
        <w:lastRenderedPageBreak/>
        <w:t>在选取指标过程中，应广泛进行对比分析并开展行业及消费者调查分析，选取消费者关注度高、有关消费者使用安全、影响消费者使用体验和与绿色节能有关等有代表性的指标。</w:t>
      </w:r>
    </w:p>
    <w:p w14:paraId="6823071A" w14:textId="760DB78C" w:rsidR="00614A8E" w:rsidRPr="00614A8E" w:rsidRDefault="00614A8E" w:rsidP="007C45C2">
      <w:r w:rsidRPr="00614A8E">
        <w:rPr>
          <w:rFonts w:hint="eastAsia"/>
        </w:rPr>
        <w:t>2</w:t>
      </w:r>
      <w:r w:rsidR="007C45C2">
        <w:rPr>
          <w:rFonts w:hint="eastAsia"/>
        </w:rPr>
        <w:t>．</w:t>
      </w:r>
      <w:r w:rsidRPr="00614A8E">
        <w:rPr>
          <w:rFonts w:hint="eastAsia"/>
        </w:rPr>
        <w:t>适用性原则</w:t>
      </w:r>
    </w:p>
    <w:p w14:paraId="22D46928" w14:textId="77777777" w:rsidR="00614A8E" w:rsidRPr="00614A8E" w:rsidRDefault="00614A8E" w:rsidP="007C45C2">
      <w:r w:rsidRPr="00614A8E">
        <w:rPr>
          <w:rFonts w:hint="eastAsia"/>
        </w:rPr>
        <w:t>指标的检验方法应具有较强的可操作性，确保检测方法科学合理，指标数据易于获取和验证。对于没有现行国家、行业标准支持的指标，其检测方法应在附录中注明。</w:t>
      </w:r>
    </w:p>
    <w:p w14:paraId="49D2EEE9" w14:textId="19519095" w:rsidR="00614A8E" w:rsidRPr="00614A8E" w:rsidRDefault="00614A8E" w:rsidP="007C45C2">
      <w:r w:rsidRPr="00614A8E">
        <w:rPr>
          <w:rFonts w:hint="eastAsia"/>
        </w:rPr>
        <w:t>3</w:t>
      </w:r>
      <w:r w:rsidR="007C45C2">
        <w:rPr>
          <w:rFonts w:hint="eastAsia"/>
        </w:rPr>
        <w:t>．</w:t>
      </w:r>
      <w:r w:rsidRPr="00614A8E">
        <w:rPr>
          <w:rFonts w:hint="eastAsia"/>
        </w:rPr>
        <w:t>兼容性原则</w:t>
      </w:r>
    </w:p>
    <w:p w14:paraId="3C243025" w14:textId="77777777" w:rsidR="00614A8E" w:rsidRPr="00614A8E" w:rsidRDefault="00614A8E" w:rsidP="007C45C2">
      <w:r w:rsidRPr="00614A8E">
        <w:rPr>
          <w:rFonts w:hint="eastAsia"/>
        </w:rPr>
        <w:t>在指标选取中，应进行充分分析，兼顾产品的综合性能，合理确定指标值。</w:t>
      </w:r>
    </w:p>
    <w:p w14:paraId="5357CA91" w14:textId="4C732D3D" w:rsidR="00614A8E" w:rsidRPr="00614A8E" w:rsidRDefault="00614A8E" w:rsidP="007C45C2">
      <w:r w:rsidRPr="00614A8E">
        <w:rPr>
          <w:rFonts w:hint="eastAsia"/>
        </w:rPr>
        <w:t>4</w:t>
      </w:r>
      <w:r w:rsidR="007C45C2">
        <w:rPr>
          <w:rFonts w:hint="eastAsia"/>
        </w:rPr>
        <w:t>．</w:t>
      </w:r>
      <w:r w:rsidRPr="00614A8E">
        <w:rPr>
          <w:rFonts w:hint="eastAsia"/>
        </w:rPr>
        <w:t>创新性原则</w:t>
      </w:r>
    </w:p>
    <w:p w14:paraId="6A02EF52" w14:textId="77777777" w:rsidR="00614A8E" w:rsidRPr="00614A8E" w:rsidRDefault="00614A8E" w:rsidP="007C45C2">
      <w:r w:rsidRPr="00614A8E">
        <w:rPr>
          <w:rFonts w:hint="eastAsia"/>
        </w:rPr>
        <w:t>鼓励根据市场需求选取国家标准或行业标准未覆盖的具有创新性的指标，创新性指标应具有改善消费者使用体验、绿色节能等效果。</w:t>
      </w:r>
    </w:p>
    <w:p w14:paraId="0DA4040B" w14:textId="7E8E3A2F" w:rsidR="00614A8E" w:rsidRPr="00614A8E" w:rsidRDefault="00614A8E" w:rsidP="007C45C2">
      <w:r w:rsidRPr="00614A8E">
        <w:rPr>
          <w:rFonts w:hint="eastAsia"/>
        </w:rPr>
        <w:t>5</w:t>
      </w:r>
      <w:r w:rsidR="007C45C2">
        <w:rPr>
          <w:rFonts w:hint="eastAsia"/>
        </w:rPr>
        <w:t>．</w:t>
      </w:r>
      <w:r w:rsidRPr="00614A8E">
        <w:rPr>
          <w:rFonts w:hint="eastAsia"/>
        </w:rPr>
        <w:t>引领性原则</w:t>
      </w:r>
    </w:p>
    <w:p w14:paraId="683BD902" w14:textId="77777777" w:rsidR="00614A8E" w:rsidRPr="00614A8E" w:rsidRDefault="00614A8E" w:rsidP="007C45C2">
      <w:r w:rsidRPr="00614A8E">
        <w:rPr>
          <w:rFonts w:hint="eastAsia"/>
        </w:rPr>
        <w:t>符合“共生优品”评价要求的产品要在同品类产品中，起到引领作用。</w:t>
      </w:r>
    </w:p>
    <w:bookmarkEnd w:id="0"/>
    <w:p w14:paraId="5B0118B6" w14:textId="77777777" w:rsidR="00584340" w:rsidRDefault="00093594">
      <w:pPr>
        <w:spacing w:beforeLines="100" w:before="312" w:line="360" w:lineRule="auto"/>
        <w:jc w:val="left"/>
        <w:rPr>
          <w:rFonts w:asciiTheme="majorEastAsia" w:eastAsiaTheme="majorEastAsia" w:hAnsiTheme="majorEastAsia"/>
          <w:b/>
          <w:bCs/>
          <w:szCs w:val="28"/>
        </w:rPr>
      </w:pPr>
      <w:r>
        <w:rPr>
          <w:rFonts w:asciiTheme="majorEastAsia" w:eastAsiaTheme="majorEastAsia" w:hAnsiTheme="majorEastAsia" w:hint="eastAsia"/>
          <w:b/>
          <w:bCs/>
          <w:szCs w:val="28"/>
        </w:rPr>
        <w:t>（二）主要内容的确定</w:t>
      </w:r>
    </w:p>
    <w:p w14:paraId="541DE90A" w14:textId="77777777" w:rsidR="00584340" w:rsidRDefault="00093594">
      <w:pPr>
        <w:rPr>
          <w:rFonts w:ascii="宋体" w:eastAsia="宋体" w:hAnsi="宋体"/>
        </w:rPr>
      </w:pPr>
      <w:r>
        <w:rPr>
          <w:rFonts w:ascii="宋体" w:eastAsia="宋体" w:hAnsi="宋体" w:hint="eastAsia"/>
        </w:rPr>
        <w:t>1、范围</w:t>
      </w:r>
    </w:p>
    <w:p w14:paraId="1A820631" w14:textId="77777777" w:rsidR="00584340" w:rsidRDefault="00093594">
      <w:r>
        <w:rPr>
          <w:rFonts w:hint="eastAsia"/>
        </w:rPr>
        <w:t>2</w:t>
      </w:r>
      <w:r>
        <w:rPr>
          <w:rFonts w:hint="eastAsia"/>
        </w:rPr>
        <w:t>、主要内容</w:t>
      </w:r>
    </w:p>
    <w:p w14:paraId="09344C50" w14:textId="77777777" w:rsidR="00584340" w:rsidRDefault="00093594">
      <w:pPr>
        <w:pStyle w:val="af0"/>
        <w:spacing w:before="312" w:after="312"/>
      </w:pPr>
      <w:r>
        <w:rPr>
          <w:rFonts w:hint="eastAsia"/>
        </w:rPr>
        <w:t>四、标准修订过程</w:t>
      </w:r>
    </w:p>
    <w:p w14:paraId="3660499E" w14:textId="77777777" w:rsidR="00584340" w:rsidRDefault="00093594">
      <w:pPr>
        <w:spacing w:beforeLines="100" w:before="312" w:line="360" w:lineRule="auto"/>
        <w:jc w:val="left"/>
        <w:rPr>
          <w:rFonts w:ascii="宋体" w:eastAsia="宋体" w:hAnsi="宋体" w:cs="宋体"/>
          <w:sz w:val="24"/>
        </w:rPr>
      </w:pPr>
      <w:r>
        <w:rPr>
          <w:rFonts w:asciiTheme="minorEastAsia" w:hAnsiTheme="minorEastAsia" w:hint="eastAsia"/>
          <w:sz w:val="24"/>
          <w:szCs w:val="24"/>
        </w:rPr>
        <w:t>1</w:t>
      </w:r>
      <w:r>
        <w:rPr>
          <w:rFonts w:asciiTheme="minorEastAsia" w:hAnsiTheme="minorEastAsia"/>
          <w:sz w:val="24"/>
          <w:szCs w:val="24"/>
        </w:rPr>
        <w:t>.</w:t>
      </w:r>
      <w:r>
        <w:rPr>
          <w:rFonts w:asciiTheme="minorEastAsia" w:hAnsiTheme="minorEastAsia" w:hint="eastAsia"/>
          <w:sz w:val="24"/>
          <w:szCs w:val="24"/>
        </w:rPr>
        <w:t>第一次</w:t>
      </w:r>
      <w:r>
        <w:rPr>
          <w:rFonts w:ascii="宋体" w:eastAsia="宋体" w:hAnsi="宋体" w:cs="宋体" w:hint="eastAsia"/>
          <w:sz w:val="24"/>
        </w:rPr>
        <w:t>工作会议</w:t>
      </w:r>
    </w:p>
    <w:p w14:paraId="26F500DA" w14:textId="77777777" w:rsidR="00584340" w:rsidRDefault="00093594">
      <w:pPr>
        <w:spacing w:beforeLines="100" w:before="312" w:line="360" w:lineRule="auto"/>
        <w:jc w:val="left"/>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第二次</w:t>
      </w:r>
      <w:r>
        <w:rPr>
          <w:rFonts w:ascii="宋体" w:eastAsia="宋体" w:hAnsi="宋体" w:cs="宋体" w:hint="eastAsia"/>
          <w:sz w:val="24"/>
        </w:rPr>
        <w:t>工作会议</w:t>
      </w:r>
    </w:p>
    <w:p w14:paraId="34F35BB3" w14:textId="32269E9C" w:rsidR="00584340" w:rsidRDefault="00093594" w:rsidP="0038030C">
      <w:pPr>
        <w:widowControl/>
        <w:jc w:val="left"/>
        <w:rPr>
          <w:rFonts w:asciiTheme="minorEastAsia" w:hAnsiTheme="minorEastAsia" w:hint="eastAsia"/>
          <w:sz w:val="24"/>
          <w:szCs w:val="24"/>
        </w:rPr>
      </w:pPr>
      <w:bookmarkStart w:id="1" w:name="_Hlk41329670"/>
      <w:r>
        <w:rPr>
          <w:rFonts w:asciiTheme="minorEastAsia" w:hAnsiTheme="minorEastAsia"/>
          <w:sz w:val="24"/>
          <w:szCs w:val="24"/>
        </w:rPr>
        <w:br w:type="page"/>
      </w:r>
      <w:bookmarkStart w:id="2" w:name="_GoBack"/>
      <w:bookmarkEnd w:id="2"/>
    </w:p>
    <w:bookmarkEnd w:id="1"/>
    <w:p w14:paraId="7711B2DF" w14:textId="77777777" w:rsidR="00584340" w:rsidRDefault="00093594">
      <w:pPr>
        <w:pStyle w:val="af0"/>
        <w:numPr>
          <w:ilvl w:val="0"/>
          <w:numId w:val="2"/>
        </w:numPr>
        <w:spacing w:before="312" w:after="312"/>
      </w:pPr>
      <w:r>
        <w:rPr>
          <w:rFonts w:hint="eastAsia"/>
        </w:rPr>
        <w:lastRenderedPageBreak/>
        <w:t>国内外情况简要说明</w:t>
      </w:r>
    </w:p>
    <w:p w14:paraId="7D0814D6" w14:textId="77777777" w:rsidR="00584340" w:rsidRDefault="00093594">
      <w:pPr>
        <w:spacing w:line="360" w:lineRule="auto"/>
        <w:ind w:firstLine="465"/>
        <w:jc w:val="left"/>
        <w:rPr>
          <w:rFonts w:asciiTheme="minorEastAsia" w:hAnsiTheme="minorEastAsia"/>
          <w:b/>
          <w:sz w:val="24"/>
          <w:szCs w:val="24"/>
        </w:rPr>
      </w:pPr>
      <w:r>
        <w:rPr>
          <w:rFonts w:hint="eastAsia"/>
          <w:sz w:val="24"/>
          <w:szCs w:val="24"/>
        </w:rPr>
        <w:t>中国家用燃气灶具制造行业一直致力于技术的发展与革新，整机和零部件的生产技术都取得了长足进步，产品的结构、使用性能、安全性能等相较发展初期有了巨大的提升，相关标准亦在逐步的完善。欧美等发达地区的家用燃气灶具生产制造早于中国，水平也一直处于较领先地位，但现在国内的家用燃气灶具生产制造水平已逐渐追赶上了欧美，在某些方面甚至超过了欧美，不过从标准来分析，以中欧标准为例，</w:t>
      </w:r>
      <w:proofErr w:type="gramStart"/>
      <w:r>
        <w:rPr>
          <w:rFonts w:hint="eastAsia"/>
          <w:sz w:val="24"/>
          <w:szCs w:val="24"/>
        </w:rPr>
        <w:t>国标仍</w:t>
      </w:r>
      <w:proofErr w:type="gramEnd"/>
      <w:r>
        <w:rPr>
          <w:rFonts w:hint="eastAsia"/>
          <w:sz w:val="24"/>
          <w:szCs w:val="24"/>
        </w:rPr>
        <w:t>有部分指标要求低于欧标，如气密性。因此，目前中国家用燃气灶具的产品评价指标具有一定的提升空间。另外现在各大生产厂家均在产品上增加给消费者带来使用便利的各种附加功能，如防干烧保护、烟灶联动、定时关火等，但这些功能目前还没有统一的规范，因此，如果能够对这些附加功能提出引领性的规范和指标要求，将有利于行业的良性发展，也可以使消费者在选购产品的时候有更好的参考。</w:t>
      </w:r>
    </w:p>
    <w:p w14:paraId="3A145173" w14:textId="77777777" w:rsidR="00584340" w:rsidRDefault="00584340">
      <w:pPr>
        <w:pStyle w:val="af1"/>
        <w:ind w:firstLineChars="0" w:firstLine="0"/>
      </w:pPr>
    </w:p>
    <w:p w14:paraId="38857E6C" w14:textId="77777777" w:rsidR="00584340" w:rsidRDefault="00093594">
      <w:pPr>
        <w:pStyle w:val="af0"/>
        <w:numPr>
          <w:ilvl w:val="0"/>
          <w:numId w:val="2"/>
        </w:numPr>
        <w:spacing w:before="312" w:after="312"/>
      </w:pPr>
      <w:r>
        <w:rPr>
          <w:rFonts w:hint="eastAsia"/>
        </w:rPr>
        <w:t>核心指标与国际标准对比情况</w:t>
      </w:r>
    </w:p>
    <w:p w14:paraId="744FC04F" w14:textId="77777777" w:rsidR="00584340" w:rsidRDefault="00093594">
      <w:pPr>
        <w:spacing w:line="360" w:lineRule="auto"/>
        <w:ind w:firstLine="465"/>
        <w:jc w:val="left"/>
        <w:rPr>
          <w:rFonts w:asciiTheme="majorEastAsia" w:eastAsiaTheme="majorEastAsia" w:hAnsiTheme="majorEastAsia"/>
          <w:sz w:val="24"/>
          <w:szCs w:val="24"/>
        </w:rPr>
      </w:pPr>
      <w:r>
        <w:rPr>
          <w:rFonts w:asciiTheme="majorEastAsia" w:eastAsiaTheme="majorEastAsia" w:hAnsiTheme="majorEastAsia" w:hint="eastAsia"/>
          <w:sz w:val="24"/>
          <w:szCs w:val="24"/>
        </w:rPr>
        <w:t>本标准所列的部分指标与国家标准对比情况如下表所示：</w:t>
      </w:r>
    </w:p>
    <w:p w14:paraId="3291970D" w14:textId="77777777" w:rsidR="00584340" w:rsidRDefault="00584340">
      <w:pPr>
        <w:pStyle w:val="af1"/>
      </w:pPr>
    </w:p>
    <w:tbl>
      <w:tblPr>
        <w:tblStyle w:val="ae"/>
        <w:tblW w:w="9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337"/>
        <w:gridCol w:w="1405"/>
        <w:gridCol w:w="2954"/>
        <w:gridCol w:w="3002"/>
      </w:tblGrid>
      <w:tr w:rsidR="00584340" w14:paraId="0D7FA1EA" w14:textId="77777777">
        <w:trPr>
          <w:trHeight w:val="1072"/>
          <w:jc w:val="center"/>
        </w:trPr>
        <w:tc>
          <w:tcPr>
            <w:tcW w:w="416" w:type="dxa"/>
            <w:vAlign w:val="center"/>
          </w:tcPr>
          <w:p w14:paraId="165CAD69"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序号</w:t>
            </w:r>
          </w:p>
        </w:tc>
        <w:tc>
          <w:tcPr>
            <w:tcW w:w="1337" w:type="dxa"/>
            <w:vAlign w:val="center"/>
          </w:tcPr>
          <w:p w14:paraId="7C7546E5"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评价指标</w:t>
            </w:r>
          </w:p>
        </w:tc>
        <w:tc>
          <w:tcPr>
            <w:tcW w:w="1405" w:type="dxa"/>
            <w:vAlign w:val="center"/>
          </w:tcPr>
          <w:p w14:paraId="3A2DB069"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指标来源</w:t>
            </w:r>
          </w:p>
        </w:tc>
        <w:tc>
          <w:tcPr>
            <w:tcW w:w="2954" w:type="dxa"/>
            <w:vAlign w:val="center"/>
          </w:tcPr>
          <w:p w14:paraId="05D5714F"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本标准指标要求</w:t>
            </w:r>
          </w:p>
        </w:tc>
        <w:tc>
          <w:tcPr>
            <w:tcW w:w="3002" w:type="dxa"/>
            <w:vAlign w:val="center"/>
          </w:tcPr>
          <w:p w14:paraId="686889E9"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国标指标要求</w:t>
            </w:r>
          </w:p>
        </w:tc>
      </w:tr>
      <w:tr w:rsidR="00584340" w14:paraId="78273EFD" w14:textId="77777777">
        <w:trPr>
          <w:trHeight w:val="772"/>
          <w:jc w:val="center"/>
        </w:trPr>
        <w:tc>
          <w:tcPr>
            <w:tcW w:w="416" w:type="dxa"/>
            <w:vAlign w:val="center"/>
          </w:tcPr>
          <w:p w14:paraId="7473418E"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1</w:t>
            </w:r>
          </w:p>
        </w:tc>
        <w:tc>
          <w:tcPr>
            <w:tcW w:w="1337" w:type="dxa"/>
            <w:vAlign w:val="center"/>
          </w:tcPr>
          <w:p w14:paraId="04A6E398" w14:textId="77777777" w:rsidR="00584340" w:rsidRDefault="00093594">
            <w:pPr>
              <w:jc w:val="center"/>
              <w:rPr>
                <w:rFonts w:ascii="Times New Roman" w:hAnsi="Times New Roman"/>
                <w:kern w:val="0"/>
                <w:sz w:val="18"/>
                <w:szCs w:val="18"/>
              </w:rPr>
            </w:pPr>
            <w:r>
              <w:rPr>
                <w:rFonts w:ascii="Times New Roman" w:hAnsi="Times New Roman" w:hint="eastAsia"/>
                <w:sz w:val="18"/>
                <w:szCs w:val="18"/>
              </w:rPr>
              <w:t>气密性能</w:t>
            </w:r>
          </w:p>
        </w:tc>
        <w:tc>
          <w:tcPr>
            <w:tcW w:w="1405" w:type="dxa"/>
            <w:vAlign w:val="center"/>
          </w:tcPr>
          <w:p w14:paraId="1175ED34"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GB 16410-2020</w:t>
            </w:r>
            <w:r>
              <w:rPr>
                <w:rFonts w:ascii="Times New Roman" w:hAnsi="Times New Roman" w:hint="eastAsia"/>
                <w:kern w:val="0"/>
                <w:sz w:val="18"/>
                <w:szCs w:val="18"/>
              </w:rPr>
              <w:t>第</w:t>
            </w:r>
            <w:r>
              <w:rPr>
                <w:rFonts w:ascii="Times New Roman" w:hAnsi="Times New Roman" w:hint="eastAsia"/>
                <w:kern w:val="0"/>
                <w:sz w:val="18"/>
                <w:szCs w:val="18"/>
              </w:rPr>
              <w:t>5.2.1</w:t>
            </w:r>
            <w:r>
              <w:rPr>
                <w:rFonts w:ascii="Times New Roman" w:hAnsi="Times New Roman" w:hint="eastAsia"/>
                <w:kern w:val="0"/>
                <w:sz w:val="18"/>
                <w:szCs w:val="18"/>
              </w:rPr>
              <w:t>项</w:t>
            </w:r>
          </w:p>
        </w:tc>
        <w:tc>
          <w:tcPr>
            <w:tcW w:w="2954" w:type="dxa"/>
            <w:vAlign w:val="center"/>
          </w:tcPr>
          <w:p w14:paraId="74199318" w14:textId="77777777" w:rsidR="00584340" w:rsidRDefault="00093594">
            <w:pPr>
              <w:jc w:val="center"/>
              <w:rPr>
                <w:bCs/>
                <w:sz w:val="18"/>
                <w:szCs w:val="18"/>
              </w:rPr>
            </w:pPr>
            <w:r>
              <w:rPr>
                <w:rFonts w:ascii="Times New Roman" w:hAnsi="Times New Roman" w:hint="eastAsia"/>
                <w:sz w:val="18"/>
                <w:szCs w:val="18"/>
              </w:rPr>
              <w:t>从燃气入口到燃气阀门：</w:t>
            </w:r>
            <w:r>
              <w:rPr>
                <w:rFonts w:hint="eastAsia"/>
                <w:bCs/>
                <w:sz w:val="18"/>
                <w:szCs w:val="18"/>
              </w:rPr>
              <w:t>在</w:t>
            </w:r>
            <w:r>
              <w:rPr>
                <w:rFonts w:hint="eastAsia"/>
                <w:bCs/>
                <w:sz w:val="18"/>
                <w:szCs w:val="18"/>
              </w:rPr>
              <w:t>15kPa</w:t>
            </w:r>
            <w:r>
              <w:rPr>
                <w:rFonts w:hint="eastAsia"/>
                <w:bCs/>
                <w:sz w:val="18"/>
                <w:szCs w:val="18"/>
              </w:rPr>
              <w:t>压力下，漏气量≤</w:t>
            </w:r>
            <w:r>
              <w:rPr>
                <w:rFonts w:hint="eastAsia"/>
                <w:bCs/>
                <w:sz w:val="18"/>
                <w:szCs w:val="18"/>
              </w:rPr>
              <w:t>0.02L/h</w:t>
            </w:r>
            <w:r>
              <w:rPr>
                <w:rFonts w:hint="eastAsia"/>
                <w:bCs/>
                <w:sz w:val="18"/>
                <w:szCs w:val="18"/>
              </w:rPr>
              <w:t>；</w:t>
            </w:r>
          </w:p>
          <w:p w14:paraId="142CEA32" w14:textId="77777777" w:rsidR="00584340" w:rsidRDefault="00093594">
            <w:pPr>
              <w:jc w:val="center"/>
              <w:rPr>
                <w:bCs/>
                <w:sz w:val="18"/>
                <w:szCs w:val="18"/>
              </w:rPr>
            </w:pPr>
            <w:r>
              <w:rPr>
                <w:rFonts w:ascii="Times New Roman" w:hAnsi="Times New Roman" w:hint="eastAsia"/>
                <w:kern w:val="0"/>
                <w:sz w:val="18"/>
                <w:szCs w:val="18"/>
              </w:rPr>
              <w:t>自动控制阀门：</w:t>
            </w:r>
            <w:r>
              <w:rPr>
                <w:rFonts w:hint="eastAsia"/>
                <w:bCs/>
                <w:sz w:val="18"/>
                <w:szCs w:val="18"/>
              </w:rPr>
              <w:t>在</w:t>
            </w:r>
            <w:r>
              <w:rPr>
                <w:rFonts w:hint="eastAsia"/>
                <w:bCs/>
                <w:sz w:val="18"/>
                <w:szCs w:val="18"/>
              </w:rPr>
              <w:t>15kPa</w:t>
            </w:r>
            <w:r>
              <w:rPr>
                <w:rFonts w:hint="eastAsia"/>
                <w:bCs/>
                <w:sz w:val="18"/>
                <w:szCs w:val="18"/>
              </w:rPr>
              <w:t>压力下，漏气量≤</w:t>
            </w:r>
            <w:r>
              <w:rPr>
                <w:rFonts w:hint="eastAsia"/>
                <w:bCs/>
                <w:sz w:val="18"/>
                <w:szCs w:val="18"/>
              </w:rPr>
              <w:t>0.02L/h</w:t>
            </w:r>
          </w:p>
          <w:p w14:paraId="1A2137FD" w14:textId="77777777" w:rsidR="00584340" w:rsidRDefault="00093594">
            <w:pPr>
              <w:widowControl/>
              <w:ind w:firstLineChars="200" w:firstLine="360"/>
              <w:jc w:val="left"/>
              <w:rPr>
                <w:bCs/>
                <w:sz w:val="18"/>
                <w:szCs w:val="18"/>
              </w:rPr>
            </w:pPr>
            <w:r>
              <w:rPr>
                <w:rFonts w:ascii="宋体" w:hAnsi="宋体" w:cs="宋体" w:hint="eastAsia"/>
                <w:color w:val="000000"/>
                <w:kern w:val="0"/>
                <w:sz w:val="18"/>
                <w:szCs w:val="18"/>
                <w:lang w:bidi="ar"/>
              </w:rPr>
              <w:t xml:space="preserve">自动控制阀门：在 </w:t>
            </w:r>
            <w:r>
              <w:rPr>
                <w:rFonts w:cs="Calibri"/>
                <w:color w:val="000000"/>
                <w:kern w:val="0"/>
                <w:sz w:val="18"/>
                <w:szCs w:val="18"/>
                <w:lang w:bidi="ar"/>
              </w:rPr>
              <w:t xml:space="preserve">0.6kPa </w:t>
            </w:r>
            <w:r>
              <w:rPr>
                <w:rFonts w:ascii="宋体" w:hAnsi="宋体" w:cs="宋体" w:hint="eastAsia"/>
                <w:color w:val="000000"/>
                <w:kern w:val="0"/>
                <w:sz w:val="18"/>
                <w:szCs w:val="18"/>
                <w:lang w:bidi="ar"/>
              </w:rPr>
              <w:t>压力下，漏气量 ≤</w:t>
            </w:r>
            <w:r>
              <w:rPr>
                <w:rFonts w:cs="Calibri"/>
                <w:color w:val="000000"/>
                <w:kern w:val="0"/>
                <w:sz w:val="18"/>
                <w:szCs w:val="18"/>
                <w:lang w:bidi="ar"/>
              </w:rPr>
              <w:t>0.02L/h</w:t>
            </w:r>
          </w:p>
        </w:tc>
        <w:tc>
          <w:tcPr>
            <w:tcW w:w="3002" w:type="dxa"/>
            <w:vAlign w:val="center"/>
          </w:tcPr>
          <w:p w14:paraId="076DA4C1" w14:textId="77777777" w:rsidR="00584340" w:rsidRDefault="00093594">
            <w:pPr>
              <w:jc w:val="center"/>
              <w:rPr>
                <w:bCs/>
                <w:sz w:val="18"/>
                <w:szCs w:val="18"/>
              </w:rPr>
            </w:pPr>
            <w:r>
              <w:rPr>
                <w:rFonts w:ascii="Times New Roman" w:hAnsi="Times New Roman" w:hint="eastAsia"/>
                <w:sz w:val="18"/>
                <w:szCs w:val="18"/>
              </w:rPr>
              <w:t>从燃气入口到燃气阀门：</w:t>
            </w:r>
            <w:r>
              <w:rPr>
                <w:rFonts w:hint="eastAsia"/>
                <w:bCs/>
                <w:sz w:val="18"/>
                <w:szCs w:val="18"/>
              </w:rPr>
              <w:t>在</w:t>
            </w:r>
            <w:r>
              <w:rPr>
                <w:rFonts w:hint="eastAsia"/>
                <w:bCs/>
                <w:sz w:val="18"/>
                <w:szCs w:val="18"/>
              </w:rPr>
              <w:t>4.2kPa</w:t>
            </w:r>
            <w:r>
              <w:rPr>
                <w:rFonts w:hint="eastAsia"/>
                <w:bCs/>
                <w:sz w:val="18"/>
                <w:szCs w:val="18"/>
              </w:rPr>
              <w:t>压力下，漏气量≤</w:t>
            </w:r>
            <w:r>
              <w:rPr>
                <w:rFonts w:hint="eastAsia"/>
                <w:bCs/>
                <w:sz w:val="18"/>
                <w:szCs w:val="18"/>
              </w:rPr>
              <w:t>0.07L/h</w:t>
            </w:r>
            <w:r>
              <w:rPr>
                <w:rFonts w:hint="eastAsia"/>
                <w:bCs/>
                <w:sz w:val="18"/>
                <w:szCs w:val="18"/>
              </w:rPr>
              <w:t>；</w:t>
            </w:r>
          </w:p>
          <w:p w14:paraId="14562A4D" w14:textId="77777777" w:rsidR="00584340" w:rsidRDefault="00093594">
            <w:pPr>
              <w:jc w:val="center"/>
              <w:rPr>
                <w:bCs/>
                <w:sz w:val="18"/>
                <w:szCs w:val="18"/>
              </w:rPr>
            </w:pPr>
            <w:r>
              <w:rPr>
                <w:rFonts w:ascii="Times New Roman" w:hAnsi="Times New Roman" w:hint="eastAsia"/>
                <w:kern w:val="0"/>
                <w:sz w:val="18"/>
                <w:szCs w:val="18"/>
              </w:rPr>
              <w:t>自动控制阀门：</w:t>
            </w:r>
            <w:r>
              <w:rPr>
                <w:rFonts w:hint="eastAsia"/>
                <w:bCs/>
                <w:sz w:val="18"/>
                <w:szCs w:val="18"/>
              </w:rPr>
              <w:t>在</w:t>
            </w:r>
            <w:r>
              <w:rPr>
                <w:rFonts w:hint="eastAsia"/>
                <w:bCs/>
                <w:sz w:val="18"/>
                <w:szCs w:val="18"/>
              </w:rPr>
              <w:t>4.2kPa</w:t>
            </w:r>
            <w:r>
              <w:rPr>
                <w:rFonts w:hint="eastAsia"/>
                <w:bCs/>
                <w:sz w:val="18"/>
                <w:szCs w:val="18"/>
              </w:rPr>
              <w:t>压力下，漏气量≤</w:t>
            </w:r>
            <w:r>
              <w:rPr>
                <w:rFonts w:hint="eastAsia"/>
                <w:bCs/>
                <w:sz w:val="18"/>
                <w:szCs w:val="18"/>
              </w:rPr>
              <w:t>0.55L/h</w:t>
            </w:r>
          </w:p>
          <w:p w14:paraId="48A18990" w14:textId="77777777" w:rsidR="00584340" w:rsidRDefault="00584340">
            <w:pPr>
              <w:jc w:val="center"/>
              <w:rPr>
                <w:rFonts w:ascii="Times New Roman" w:hAnsi="Times New Roman"/>
                <w:sz w:val="18"/>
                <w:szCs w:val="18"/>
              </w:rPr>
            </w:pPr>
          </w:p>
        </w:tc>
      </w:tr>
      <w:tr w:rsidR="00584340" w14:paraId="741D2274" w14:textId="77777777">
        <w:trPr>
          <w:trHeight w:val="521"/>
          <w:jc w:val="center"/>
        </w:trPr>
        <w:tc>
          <w:tcPr>
            <w:tcW w:w="416" w:type="dxa"/>
            <w:vMerge w:val="restart"/>
            <w:vAlign w:val="center"/>
          </w:tcPr>
          <w:p w14:paraId="14A85C69"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2</w:t>
            </w:r>
          </w:p>
        </w:tc>
        <w:tc>
          <w:tcPr>
            <w:tcW w:w="1337" w:type="dxa"/>
            <w:vMerge w:val="restart"/>
            <w:vAlign w:val="center"/>
          </w:tcPr>
          <w:p w14:paraId="19EDDC39" w14:textId="77777777" w:rsidR="00584340" w:rsidRDefault="00093594">
            <w:pPr>
              <w:jc w:val="center"/>
              <w:rPr>
                <w:rFonts w:ascii="Times New Roman" w:hAnsi="Times New Roman"/>
                <w:sz w:val="18"/>
                <w:szCs w:val="18"/>
              </w:rPr>
            </w:pPr>
            <w:r>
              <w:rPr>
                <w:rFonts w:ascii="Times New Roman" w:hAnsi="Times New Roman" w:hint="eastAsia"/>
                <w:sz w:val="18"/>
                <w:szCs w:val="18"/>
              </w:rPr>
              <w:t>表面温升（干电池外壳、软管接头、阀门外壳、点火器外壳、操作时手必须接触的部位）</w:t>
            </w:r>
          </w:p>
        </w:tc>
        <w:tc>
          <w:tcPr>
            <w:tcW w:w="1405" w:type="dxa"/>
            <w:vMerge w:val="restart"/>
            <w:vAlign w:val="center"/>
          </w:tcPr>
          <w:p w14:paraId="55263366" w14:textId="77777777" w:rsidR="00584340" w:rsidRDefault="00093594">
            <w:pPr>
              <w:jc w:val="center"/>
              <w:rPr>
                <w:rFonts w:ascii="Times New Roman" w:hAnsi="Times New Roman"/>
                <w:kern w:val="0"/>
                <w:sz w:val="18"/>
                <w:szCs w:val="18"/>
              </w:rPr>
            </w:pPr>
            <w:r>
              <w:rPr>
                <w:rFonts w:ascii="Times New Roman" w:hAnsi="Times New Roman"/>
                <w:kern w:val="0"/>
                <w:sz w:val="18"/>
                <w:szCs w:val="18"/>
              </w:rPr>
              <w:t>GB16410-20</w:t>
            </w:r>
            <w:r>
              <w:rPr>
                <w:rFonts w:ascii="Times New Roman" w:hAnsi="Times New Roman" w:hint="eastAsia"/>
                <w:kern w:val="0"/>
                <w:sz w:val="18"/>
                <w:szCs w:val="18"/>
              </w:rPr>
              <w:t>20</w:t>
            </w:r>
            <w:r>
              <w:rPr>
                <w:rFonts w:ascii="Times New Roman" w:hAnsi="Times New Roman" w:hint="eastAsia"/>
                <w:kern w:val="0"/>
                <w:sz w:val="18"/>
                <w:szCs w:val="18"/>
              </w:rPr>
              <w:t>第</w:t>
            </w:r>
            <w:r>
              <w:rPr>
                <w:rFonts w:ascii="Times New Roman" w:hAnsi="Times New Roman" w:hint="eastAsia"/>
                <w:kern w:val="0"/>
                <w:sz w:val="18"/>
                <w:szCs w:val="18"/>
              </w:rPr>
              <w:t xml:space="preserve"> </w:t>
            </w:r>
            <w:r>
              <w:rPr>
                <w:rFonts w:ascii="Times New Roman" w:hAnsi="Times New Roman"/>
                <w:kern w:val="0"/>
                <w:sz w:val="18"/>
                <w:szCs w:val="18"/>
              </w:rPr>
              <w:t xml:space="preserve">5.2.4 </w:t>
            </w:r>
            <w:r>
              <w:rPr>
                <w:rFonts w:ascii="Times New Roman" w:hAnsi="Times New Roman" w:hint="eastAsia"/>
                <w:kern w:val="0"/>
                <w:sz w:val="18"/>
                <w:szCs w:val="18"/>
              </w:rPr>
              <w:t>项</w:t>
            </w:r>
          </w:p>
          <w:p w14:paraId="358EAED7" w14:textId="77777777" w:rsidR="00584340" w:rsidRDefault="00584340">
            <w:pPr>
              <w:jc w:val="center"/>
              <w:rPr>
                <w:rFonts w:ascii="Times New Roman" w:hAnsi="Times New Roman"/>
                <w:kern w:val="0"/>
                <w:sz w:val="18"/>
                <w:szCs w:val="18"/>
              </w:rPr>
            </w:pPr>
          </w:p>
        </w:tc>
        <w:tc>
          <w:tcPr>
            <w:tcW w:w="2954" w:type="dxa"/>
            <w:vAlign w:val="center"/>
          </w:tcPr>
          <w:p w14:paraId="3DD63F54"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干电池外壳：≤</w:t>
            </w:r>
            <w:r>
              <w:rPr>
                <w:rFonts w:ascii="Times New Roman" w:hAnsi="Times New Roman" w:hint="eastAsia"/>
                <w:kern w:val="0"/>
                <w:sz w:val="18"/>
                <w:szCs w:val="18"/>
              </w:rPr>
              <w:t>17K</w:t>
            </w:r>
          </w:p>
        </w:tc>
        <w:tc>
          <w:tcPr>
            <w:tcW w:w="3002" w:type="dxa"/>
            <w:vAlign w:val="center"/>
          </w:tcPr>
          <w:p w14:paraId="5F484F75"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干电池外壳：≤</w:t>
            </w:r>
            <w:r>
              <w:rPr>
                <w:rFonts w:ascii="Times New Roman" w:hAnsi="Times New Roman" w:hint="eastAsia"/>
                <w:kern w:val="0"/>
                <w:sz w:val="18"/>
                <w:szCs w:val="18"/>
              </w:rPr>
              <w:t>20K</w:t>
            </w:r>
          </w:p>
        </w:tc>
      </w:tr>
      <w:tr w:rsidR="00584340" w14:paraId="06B1B769" w14:textId="77777777">
        <w:trPr>
          <w:trHeight w:val="519"/>
          <w:jc w:val="center"/>
        </w:trPr>
        <w:tc>
          <w:tcPr>
            <w:tcW w:w="416" w:type="dxa"/>
            <w:vMerge/>
            <w:vAlign w:val="center"/>
          </w:tcPr>
          <w:p w14:paraId="1CBFAC03" w14:textId="77777777" w:rsidR="00584340" w:rsidRDefault="00584340">
            <w:pPr>
              <w:jc w:val="center"/>
              <w:rPr>
                <w:rFonts w:ascii="宋体" w:hAnsi="宋体"/>
                <w:color w:val="000000" w:themeColor="text1"/>
                <w:kern w:val="0"/>
                <w:sz w:val="18"/>
                <w:szCs w:val="18"/>
              </w:rPr>
            </w:pPr>
          </w:p>
        </w:tc>
        <w:tc>
          <w:tcPr>
            <w:tcW w:w="1337" w:type="dxa"/>
            <w:vMerge/>
            <w:vAlign w:val="center"/>
          </w:tcPr>
          <w:p w14:paraId="0036A9EA" w14:textId="77777777" w:rsidR="00584340" w:rsidRDefault="00584340">
            <w:pPr>
              <w:jc w:val="center"/>
              <w:rPr>
                <w:rFonts w:ascii="Times New Roman" w:hAnsi="Times New Roman"/>
                <w:sz w:val="18"/>
                <w:szCs w:val="18"/>
              </w:rPr>
            </w:pPr>
          </w:p>
        </w:tc>
        <w:tc>
          <w:tcPr>
            <w:tcW w:w="1405" w:type="dxa"/>
            <w:vMerge/>
            <w:vAlign w:val="center"/>
          </w:tcPr>
          <w:p w14:paraId="4C2119AC" w14:textId="77777777" w:rsidR="00584340" w:rsidRDefault="00584340">
            <w:pPr>
              <w:jc w:val="center"/>
              <w:rPr>
                <w:rFonts w:ascii="Times New Roman" w:hAnsi="Times New Roman"/>
                <w:kern w:val="0"/>
                <w:sz w:val="18"/>
                <w:szCs w:val="18"/>
              </w:rPr>
            </w:pPr>
          </w:p>
        </w:tc>
        <w:tc>
          <w:tcPr>
            <w:tcW w:w="2954" w:type="dxa"/>
            <w:vAlign w:val="center"/>
          </w:tcPr>
          <w:p w14:paraId="2CE2C702"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软管接头：≤</w:t>
            </w:r>
            <w:r>
              <w:rPr>
                <w:rFonts w:ascii="Times New Roman" w:hAnsi="Times New Roman" w:hint="eastAsia"/>
                <w:kern w:val="0"/>
                <w:sz w:val="18"/>
                <w:szCs w:val="18"/>
              </w:rPr>
              <w:t>17K</w:t>
            </w:r>
          </w:p>
        </w:tc>
        <w:tc>
          <w:tcPr>
            <w:tcW w:w="3002" w:type="dxa"/>
            <w:vAlign w:val="center"/>
          </w:tcPr>
          <w:p w14:paraId="12F972B1"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软管接头：≤</w:t>
            </w:r>
            <w:r>
              <w:rPr>
                <w:rFonts w:ascii="Times New Roman" w:hAnsi="Times New Roman" w:hint="eastAsia"/>
                <w:kern w:val="0"/>
                <w:sz w:val="18"/>
                <w:szCs w:val="18"/>
              </w:rPr>
              <w:t>20K</w:t>
            </w:r>
          </w:p>
        </w:tc>
      </w:tr>
      <w:tr w:rsidR="00584340" w14:paraId="3386A6CE" w14:textId="77777777">
        <w:trPr>
          <w:trHeight w:val="519"/>
          <w:jc w:val="center"/>
        </w:trPr>
        <w:tc>
          <w:tcPr>
            <w:tcW w:w="416" w:type="dxa"/>
            <w:vMerge/>
            <w:vAlign w:val="center"/>
          </w:tcPr>
          <w:p w14:paraId="6AD5F914" w14:textId="77777777" w:rsidR="00584340" w:rsidRDefault="00584340">
            <w:pPr>
              <w:jc w:val="center"/>
              <w:rPr>
                <w:rFonts w:ascii="宋体" w:hAnsi="宋体"/>
                <w:color w:val="000000" w:themeColor="text1"/>
                <w:kern w:val="0"/>
                <w:sz w:val="18"/>
                <w:szCs w:val="18"/>
              </w:rPr>
            </w:pPr>
          </w:p>
        </w:tc>
        <w:tc>
          <w:tcPr>
            <w:tcW w:w="1337" w:type="dxa"/>
            <w:vMerge/>
            <w:vAlign w:val="center"/>
          </w:tcPr>
          <w:p w14:paraId="2DC16E7A" w14:textId="77777777" w:rsidR="00584340" w:rsidRDefault="00584340">
            <w:pPr>
              <w:jc w:val="center"/>
              <w:rPr>
                <w:rFonts w:ascii="Times New Roman" w:hAnsi="Times New Roman"/>
                <w:sz w:val="18"/>
                <w:szCs w:val="18"/>
              </w:rPr>
            </w:pPr>
          </w:p>
        </w:tc>
        <w:tc>
          <w:tcPr>
            <w:tcW w:w="1405" w:type="dxa"/>
            <w:vMerge/>
            <w:vAlign w:val="center"/>
          </w:tcPr>
          <w:p w14:paraId="70B7FBAF" w14:textId="77777777" w:rsidR="00584340" w:rsidRDefault="00584340">
            <w:pPr>
              <w:jc w:val="center"/>
              <w:rPr>
                <w:rFonts w:ascii="Times New Roman" w:hAnsi="Times New Roman"/>
                <w:kern w:val="0"/>
                <w:sz w:val="18"/>
                <w:szCs w:val="18"/>
              </w:rPr>
            </w:pPr>
          </w:p>
        </w:tc>
        <w:tc>
          <w:tcPr>
            <w:tcW w:w="2954" w:type="dxa"/>
            <w:vAlign w:val="center"/>
          </w:tcPr>
          <w:p w14:paraId="5D3F5FB5"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操作时手必须接触的部位：</w:t>
            </w:r>
          </w:p>
          <w:p w14:paraId="63479BC3"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金属材料和带涂覆层的金属材料≤</w:t>
            </w:r>
            <w:r>
              <w:rPr>
                <w:rFonts w:ascii="Times New Roman" w:hAnsi="Times New Roman" w:hint="eastAsia"/>
                <w:kern w:val="0"/>
                <w:sz w:val="18"/>
                <w:szCs w:val="18"/>
              </w:rPr>
              <w:t>32K</w:t>
            </w:r>
          </w:p>
          <w:p w14:paraId="4D2F6F17"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非金属材料≤</w:t>
            </w:r>
            <w:r>
              <w:rPr>
                <w:rFonts w:ascii="Times New Roman" w:hAnsi="Times New Roman" w:hint="eastAsia"/>
                <w:kern w:val="0"/>
                <w:sz w:val="18"/>
                <w:szCs w:val="18"/>
              </w:rPr>
              <w:t>42K</w:t>
            </w:r>
          </w:p>
        </w:tc>
        <w:tc>
          <w:tcPr>
            <w:tcW w:w="3002" w:type="dxa"/>
            <w:vAlign w:val="center"/>
          </w:tcPr>
          <w:p w14:paraId="2FC5AABC"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操作时手必须接触的部位：</w:t>
            </w:r>
          </w:p>
          <w:p w14:paraId="4D33BEEB"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金属材料和带涂覆层的金属材料≤</w:t>
            </w:r>
            <w:r>
              <w:rPr>
                <w:rFonts w:ascii="Times New Roman" w:hAnsi="Times New Roman" w:hint="eastAsia"/>
                <w:kern w:val="0"/>
                <w:sz w:val="18"/>
                <w:szCs w:val="18"/>
              </w:rPr>
              <w:t>35K</w:t>
            </w:r>
          </w:p>
          <w:p w14:paraId="5530284B"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非金属材料≤</w:t>
            </w:r>
            <w:r>
              <w:rPr>
                <w:rFonts w:ascii="Times New Roman" w:hAnsi="Times New Roman" w:hint="eastAsia"/>
                <w:kern w:val="0"/>
                <w:sz w:val="18"/>
                <w:szCs w:val="18"/>
              </w:rPr>
              <w:t>45K</w:t>
            </w:r>
          </w:p>
        </w:tc>
      </w:tr>
      <w:tr w:rsidR="00584340" w14:paraId="4907810B" w14:textId="77777777">
        <w:trPr>
          <w:trHeight w:val="519"/>
          <w:jc w:val="center"/>
        </w:trPr>
        <w:tc>
          <w:tcPr>
            <w:tcW w:w="416" w:type="dxa"/>
            <w:vMerge/>
            <w:vAlign w:val="center"/>
          </w:tcPr>
          <w:p w14:paraId="4FB9F358" w14:textId="77777777" w:rsidR="00584340" w:rsidRDefault="00584340">
            <w:pPr>
              <w:jc w:val="center"/>
              <w:rPr>
                <w:rFonts w:ascii="宋体" w:hAnsi="宋体"/>
                <w:color w:val="000000" w:themeColor="text1"/>
                <w:kern w:val="0"/>
                <w:sz w:val="18"/>
                <w:szCs w:val="18"/>
              </w:rPr>
            </w:pPr>
          </w:p>
        </w:tc>
        <w:tc>
          <w:tcPr>
            <w:tcW w:w="1337" w:type="dxa"/>
            <w:vMerge/>
            <w:vAlign w:val="center"/>
          </w:tcPr>
          <w:p w14:paraId="2BB94DE3" w14:textId="77777777" w:rsidR="00584340" w:rsidRDefault="00584340">
            <w:pPr>
              <w:jc w:val="center"/>
              <w:rPr>
                <w:rFonts w:ascii="Times New Roman" w:hAnsi="Times New Roman"/>
                <w:sz w:val="18"/>
                <w:szCs w:val="18"/>
              </w:rPr>
            </w:pPr>
          </w:p>
        </w:tc>
        <w:tc>
          <w:tcPr>
            <w:tcW w:w="1405" w:type="dxa"/>
            <w:vMerge/>
            <w:vAlign w:val="center"/>
          </w:tcPr>
          <w:p w14:paraId="7EEDCBE9" w14:textId="77777777" w:rsidR="00584340" w:rsidRDefault="00584340">
            <w:pPr>
              <w:jc w:val="center"/>
              <w:rPr>
                <w:rFonts w:ascii="Times New Roman" w:hAnsi="Times New Roman"/>
                <w:kern w:val="0"/>
                <w:sz w:val="18"/>
                <w:szCs w:val="18"/>
              </w:rPr>
            </w:pPr>
          </w:p>
        </w:tc>
        <w:tc>
          <w:tcPr>
            <w:tcW w:w="2954" w:type="dxa"/>
            <w:vAlign w:val="center"/>
          </w:tcPr>
          <w:p w14:paraId="03B4B0AB"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阀门外壳：≤</w:t>
            </w:r>
            <w:r>
              <w:rPr>
                <w:rFonts w:ascii="Times New Roman" w:hAnsi="Times New Roman" w:hint="eastAsia"/>
                <w:kern w:val="0"/>
                <w:sz w:val="18"/>
                <w:szCs w:val="18"/>
              </w:rPr>
              <w:t>45K</w:t>
            </w:r>
          </w:p>
        </w:tc>
        <w:tc>
          <w:tcPr>
            <w:tcW w:w="3002" w:type="dxa"/>
            <w:vAlign w:val="center"/>
          </w:tcPr>
          <w:p w14:paraId="45EA4FE3"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阀门外壳：≤</w:t>
            </w:r>
            <w:r>
              <w:rPr>
                <w:rFonts w:ascii="Times New Roman" w:hAnsi="Times New Roman" w:hint="eastAsia"/>
                <w:kern w:val="0"/>
                <w:sz w:val="18"/>
                <w:szCs w:val="18"/>
              </w:rPr>
              <w:t>50K</w:t>
            </w:r>
          </w:p>
        </w:tc>
      </w:tr>
      <w:tr w:rsidR="00584340" w14:paraId="448EB758" w14:textId="77777777">
        <w:trPr>
          <w:trHeight w:val="519"/>
          <w:jc w:val="center"/>
        </w:trPr>
        <w:tc>
          <w:tcPr>
            <w:tcW w:w="416" w:type="dxa"/>
            <w:vMerge/>
            <w:vAlign w:val="center"/>
          </w:tcPr>
          <w:p w14:paraId="3FEE6B12" w14:textId="77777777" w:rsidR="00584340" w:rsidRDefault="00584340">
            <w:pPr>
              <w:jc w:val="center"/>
              <w:rPr>
                <w:rFonts w:ascii="宋体" w:hAnsi="宋体"/>
                <w:color w:val="000000" w:themeColor="text1"/>
                <w:kern w:val="0"/>
                <w:sz w:val="18"/>
                <w:szCs w:val="18"/>
              </w:rPr>
            </w:pPr>
          </w:p>
        </w:tc>
        <w:tc>
          <w:tcPr>
            <w:tcW w:w="1337" w:type="dxa"/>
            <w:vMerge/>
            <w:vAlign w:val="center"/>
          </w:tcPr>
          <w:p w14:paraId="388E76D8" w14:textId="77777777" w:rsidR="00584340" w:rsidRDefault="00584340">
            <w:pPr>
              <w:jc w:val="center"/>
              <w:rPr>
                <w:rFonts w:ascii="Times New Roman" w:hAnsi="Times New Roman"/>
                <w:sz w:val="18"/>
                <w:szCs w:val="18"/>
              </w:rPr>
            </w:pPr>
          </w:p>
        </w:tc>
        <w:tc>
          <w:tcPr>
            <w:tcW w:w="1405" w:type="dxa"/>
            <w:vMerge/>
            <w:vAlign w:val="center"/>
          </w:tcPr>
          <w:p w14:paraId="4C72061F" w14:textId="77777777" w:rsidR="00584340" w:rsidRDefault="00584340">
            <w:pPr>
              <w:jc w:val="center"/>
              <w:rPr>
                <w:rFonts w:ascii="Times New Roman" w:hAnsi="Times New Roman"/>
                <w:kern w:val="0"/>
                <w:sz w:val="18"/>
                <w:szCs w:val="18"/>
              </w:rPr>
            </w:pPr>
          </w:p>
        </w:tc>
        <w:tc>
          <w:tcPr>
            <w:tcW w:w="2954" w:type="dxa"/>
            <w:vAlign w:val="center"/>
          </w:tcPr>
          <w:p w14:paraId="4D61C24E"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点火器外壳：≤</w:t>
            </w:r>
            <w:r>
              <w:rPr>
                <w:rFonts w:ascii="Times New Roman" w:hAnsi="Times New Roman" w:hint="eastAsia"/>
                <w:kern w:val="0"/>
                <w:sz w:val="18"/>
                <w:szCs w:val="18"/>
              </w:rPr>
              <w:t>45K</w:t>
            </w:r>
          </w:p>
        </w:tc>
        <w:tc>
          <w:tcPr>
            <w:tcW w:w="3002" w:type="dxa"/>
            <w:vAlign w:val="center"/>
          </w:tcPr>
          <w:p w14:paraId="3A680B85" w14:textId="77777777" w:rsidR="00584340" w:rsidRDefault="00093594">
            <w:pPr>
              <w:jc w:val="center"/>
              <w:rPr>
                <w:rFonts w:ascii="Times New Roman" w:hAnsi="Times New Roman"/>
                <w:kern w:val="0"/>
                <w:sz w:val="18"/>
                <w:szCs w:val="18"/>
              </w:rPr>
            </w:pPr>
            <w:r>
              <w:rPr>
                <w:rFonts w:ascii="Times New Roman" w:hAnsi="Times New Roman" w:hint="eastAsia"/>
                <w:kern w:val="0"/>
                <w:sz w:val="18"/>
                <w:szCs w:val="18"/>
              </w:rPr>
              <w:t>点火器外壳：≤</w:t>
            </w:r>
            <w:r>
              <w:rPr>
                <w:rFonts w:ascii="Times New Roman" w:hAnsi="Times New Roman" w:hint="eastAsia"/>
                <w:kern w:val="0"/>
                <w:sz w:val="18"/>
                <w:szCs w:val="18"/>
              </w:rPr>
              <w:t>50K</w:t>
            </w:r>
          </w:p>
        </w:tc>
      </w:tr>
      <w:tr w:rsidR="00584340" w14:paraId="04365D3E" w14:textId="77777777">
        <w:trPr>
          <w:trHeight w:val="1558"/>
          <w:jc w:val="center"/>
        </w:trPr>
        <w:tc>
          <w:tcPr>
            <w:tcW w:w="416" w:type="dxa"/>
            <w:vAlign w:val="center"/>
          </w:tcPr>
          <w:p w14:paraId="321C967E"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lastRenderedPageBreak/>
              <w:t>3</w:t>
            </w:r>
          </w:p>
        </w:tc>
        <w:tc>
          <w:tcPr>
            <w:tcW w:w="1337" w:type="dxa"/>
            <w:vAlign w:val="center"/>
          </w:tcPr>
          <w:p w14:paraId="0DC62C5B" w14:textId="77777777" w:rsidR="00584340" w:rsidRDefault="00093594">
            <w:pPr>
              <w:pStyle w:val="TableParagraph"/>
              <w:spacing w:before="42"/>
              <w:jc w:val="center"/>
              <w:rPr>
                <w:rFonts w:ascii="宋体" w:eastAsia="宋体" w:hAnsi="宋体" w:cs="宋体"/>
                <w:sz w:val="18"/>
                <w:szCs w:val="18"/>
                <w:lang w:eastAsia="zh-CN"/>
              </w:rPr>
            </w:pPr>
            <w:r>
              <w:rPr>
                <w:rFonts w:ascii="宋体" w:eastAsia="宋体" w:hAnsi="宋体" w:cs="宋体" w:hint="eastAsia"/>
                <w:sz w:val="18"/>
                <w:szCs w:val="18"/>
                <w:lang w:eastAsia="zh-CN"/>
              </w:rPr>
              <w:t>电点火装置</w:t>
            </w:r>
          </w:p>
        </w:tc>
        <w:tc>
          <w:tcPr>
            <w:tcW w:w="1405" w:type="dxa"/>
            <w:vAlign w:val="center"/>
          </w:tcPr>
          <w:p w14:paraId="06A0449A" w14:textId="77777777" w:rsidR="00584340" w:rsidRDefault="00093594">
            <w:pPr>
              <w:jc w:val="center"/>
              <w:rPr>
                <w:rFonts w:ascii="宋体" w:hAnsi="宋体"/>
                <w:color w:val="000000" w:themeColor="text1"/>
                <w:kern w:val="0"/>
                <w:sz w:val="18"/>
                <w:szCs w:val="18"/>
              </w:rPr>
            </w:pPr>
            <w:r>
              <w:rPr>
                <w:rFonts w:ascii="宋体" w:hAnsi="宋体"/>
                <w:color w:val="000000" w:themeColor="text1"/>
                <w:kern w:val="0"/>
                <w:sz w:val="18"/>
                <w:szCs w:val="18"/>
              </w:rPr>
              <w:t>GB16410-20</w:t>
            </w:r>
            <w:r>
              <w:rPr>
                <w:rFonts w:ascii="宋体" w:hAnsi="宋体" w:hint="eastAsia"/>
                <w:color w:val="000000" w:themeColor="text1"/>
                <w:kern w:val="0"/>
                <w:sz w:val="18"/>
                <w:szCs w:val="18"/>
              </w:rPr>
              <w:t>20</w:t>
            </w:r>
            <w:r>
              <w:rPr>
                <w:rFonts w:ascii="宋体" w:hAnsi="宋体"/>
                <w:color w:val="000000" w:themeColor="text1"/>
                <w:kern w:val="0"/>
                <w:sz w:val="18"/>
                <w:szCs w:val="18"/>
              </w:rPr>
              <w:t xml:space="preserve"> </w:t>
            </w:r>
          </w:p>
          <w:p w14:paraId="4D747B7F"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 xml:space="preserve">第 </w:t>
            </w:r>
            <w:r>
              <w:rPr>
                <w:rFonts w:ascii="宋体" w:hAnsi="宋体"/>
                <w:color w:val="000000" w:themeColor="text1"/>
                <w:kern w:val="0"/>
                <w:sz w:val="18"/>
                <w:szCs w:val="18"/>
              </w:rPr>
              <w:t>5.2.</w:t>
            </w:r>
            <w:r>
              <w:rPr>
                <w:rFonts w:ascii="宋体" w:hAnsi="宋体" w:hint="eastAsia"/>
                <w:color w:val="000000" w:themeColor="text1"/>
                <w:kern w:val="0"/>
                <w:sz w:val="18"/>
                <w:szCs w:val="18"/>
              </w:rPr>
              <w:t>9</w:t>
            </w:r>
            <w:r>
              <w:rPr>
                <w:rFonts w:ascii="宋体" w:hAnsi="宋体"/>
                <w:color w:val="000000" w:themeColor="text1"/>
                <w:kern w:val="0"/>
                <w:sz w:val="18"/>
                <w:szCs w:val="18"/>
              </w:rPr>
              <w:t xml:space="preserve"> </w:t>
            </w:r>
            <w:r>
              <w:rPr>
                <w:rFonts w:ascii="宋体" w:hAnsi="宋体" w:hint="eastAsia"/>
                <w:color w:val="000000" w:themeColor="text1"/>
                <w:kern w:val="0"/>
                <w:sz w:val="18"/>
                <w:szCs w:val="18"/>
              </w:rPr>
              <w:t>项</w:t>
            </w:r>
            <w:r>
              <w:rPr>
                <w:rFonts w:ascii="宋体" w:hAnsi="宋体"/>
                <w:color w:val="000000" w:themeColor="text1"/>
                <w:kern w:val="0"/>
                <w:sz w:val="18"/>
                <w:szCs w:val="18"/>
              </w:rPr>
              <w:t xml:space="preserve"> </w:t>
            </w:r>
          </w:p>
          <w:p w14:paraId="08B28FC8" w14:textId="77777777" w:rsidR="00584340" w:rsidRDefault="00584340">
            <w:pPr>
              <w:jc w:val="center"/>
              <w:rPr>
                <w:rFonts w:ascii="Times New Roman" w:hAnsi="Times New Roman"/>
                <w:kern w:val="0"/>
                <w:sz w:val="18"/>
                <w:szCs w:val="18"/>
              </w:rPr>
            </w:pPr>
          </w:p>
        </w:tc>
        <w:tc>
          <w:tcPr>
            <w:tcW w:w="2954" w:type="dxa"/>
            <w:vAlign w:val="center"/>
          </w:tcPr>
          <w:p w14:paraId="45429A90"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点10次，10次均点燃，无爆燃</w:t>
            </w:r>
          </w:p>
        </w:tc>
        <w:tc>
          <w:tcPr>
            <w:tcW w:w="3002" w:type="dxa"/>
            <w:vAlign w:val="center"/>
          </w:tcPr>
          <w:p w14:paraId="273054EA"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点10次应有8次以上点燃，且不能连续2次失效，无爆燃</w:t>
            </w:r>
          </w:p>
        </w:tc>
      </w:tr>
      <w:tr w:rsidR="00584340" w14:paraId="76AF6C9E" w14:textId="77777777">
        <w:trPr>
          <w:trHeight w:val="1546"/>
          <w:jc w:val="center"/>
        </w:trPr>
        <w:tc>
          <w:tcPr>
            <w:tcW w:w="416" w:type="dxa"/>
            <w:vAlign w:val="center"/>
          </w:tcPr>
          <w:p w14:paraId="34A3CAE5"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4</w:t>
            </w:r>
          </w:p>
        </w:tc>
        <w:tc>
          <w:tcPr>
            <w:tcW w:w="1337" w:type="dxa"/>
            <w:vAlign w:val="center"/>
          </w:tcPr>
          <w:p w14:paraId="0AAB95F3" w14:textId="77777777" w:rsidR="00584340" w:rsidRDefault="00093594">
            <w:pPr>
              <w:pStyle w:val="TableParagraph"/>
              <w:spacing w:before="42"/>
              <w:jc w:val="center"/>
              <w:rPr>
                <w:rFonts w:ascii="宋体" w:eastAsia="宋体" w:hAnsi="宋体" w:cs="宋体"/>
                <w:sz w:val="18"/>
                <w:szCs w:val="18"/>
                <w:lang w:eastAsia="zh-CN"/>
              </w:rPr>
            </w:pPr>
            <w:r>
              <w:rPr>
                <w:rFonts w:ascii="宋体" w:eastAsia="宋体" w:hAnsi="宋体" w:cs="宋体" w:hint="eastAsia"/>
                <w:sz w:val="18"/>
                <w:szCs w:val="18"/>
                <w:lang w:eastAsia="zh-CN"/>
              </w:rPr>
              <w:t>热负荷偏差</w:t>
            </w:r>
          </w:p>
        </w:tc>
        <w:tc>
          <w:tcPr>
            <w:tcW w:w="1405" w:type="dxa"/>
            <w:vAlign w:val="center"/>
          </w:tcPr>
          <w:p w14:paraId="73A44E2F" w14:textId="77777777" w:rsidR="00584340" w:rsidRDefault="00093594">
            <w:pPr>
              <w:jc w:val="center"/>
              <w:rPr>
                <w:rFonts w:ascii="宋体" w:hAnsi="宋体"/>
                <w:color w:val="000000" w:themeColor="text1"/>
                <w:kern w:val="0"/>
                <w:sz w:val="18"/>
                <w:szCs w:val="18"/>
              </w:rPr>
            </w:pPr>
            <w:r>
              <w:rPr>
                <w:rFonts w:ascii="宋体" w:hAnsi="宋体"/>
                <w:color w:val="000000" w:themeColor="text1"/>
                <w:kern w:val="0"/>
                <w:sz w:val="18"/>
                <w:szCs w:val="18"/>
              </w:rPr>
              <w:t xml:space="preserve">GB16410-2007 </w:t>
            </w:r>
          </w:p>
          <w:p w14:paraId="01586926"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 xml:space="preserve">第 </w:t>
            </w:r>
            <w:r>
              <w:rPr>
                <w:rFonts w:ascii="宋体" w:hAnsi="宋体"/>
                <w:color w:val="000000" w:themeColor="text1"/>
                <w:kern w:val="0"/>
                <w:sz w:val="18"/>
                <w:szCs w:val="18"/>
              </w:rPr>
              <w:t xml:space="preserve">5.2.2 </w:t>
            </w:r>
            <w:r>
              <w:rPr>
                <w:rFonts w:ascii="宋体" w:hAnsi="宋体" w:hint="eastAsia"/>
                <w:color w:val="000000" w:themeColor="text1"/>
                <w:kern w:val="0"/>
                <w:sz w:val="18"/>
                <w:szCs w:val="18"/>
              </w:rPr>
              <w:t>项</w:t>
            </w:r>
          </w:p>
          <w:p w14:paraId="37C684E3" w14:textId="77777777" w:rsidR="00584340" w:rsidRDefault="00584340">
            <w:pPr>
              <w:jc w:val="center"/>
              <w:rPr>
                <w:rFonts w:ascii="宋体" w:hAnsi="宋体"/>
                <w:color w:val="000000" w:themeColor="text1"/>
                <w:kern w:val="0"/>
                <w:sz w:val="18"/>
                <w:szCs w:val="18"/>
              </w:rPr>
            </w:pPr>
          </w:p>
        </w:tc>
        <w:tc>
          <w:tcPr>
            <w:tcW w:w="2954" w:type="dxa"/>
            <w:vAlign w:val="center"/>
          </w:tcPr>
          <w:p w14:paraId="55E4C724"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 xml:space="preserve">-3%≤偏差≤+10% </w:t>
            </w:r>
          </w:p>
        </w:tc>
        <w:tc>
          <w:tcPr>
            <w:tcW w:w="3002" w:type="dxa"/>
            <w:vAlign w:val="center"/>
          </w:tcPr>
          <w:p w14:paraId="44B88ABE"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偏差应在±10%以内</w:t>
            </w:r>
          </w:p>
        </w:tc>
      </w:tr>
      <w:tr w:rsidR="00584340" w14:paraId="18BF9D8D" w14:textId="77777777">
        <w:trPr>
          <w:trHeight w:val="1558"/>
          <w:jc w:val="center"/>
        </w:trPr>
        <w:tc>
          <w:tcPr>
            <w:tcW w:w="416" w:type="dxa"/>
            <w:vAlign w:val="center"/>
          </w:tcPr>
          <w:p w14:paraId="42E6E22F"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5</w:t>
            </w:r>
          </w:p>
        </w:tc>
        <w:tc>
          <w:tcPr>
            <w:tcW w:w="1337" w:type="dxa"/>
            <w:vAlign w:val="center"/>
          </w:tcPr>
          <w:p w14:paraId="2E7FF76C"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热效率</w:t>
            </w:r>
          </w:p>
        </w:tc>
        <w:tc>
          <w:tcPr>
            <w:tcW w:w="1405" w:type="dxa"/>
            <w:vAlign w:val="center"/>
          </w:tcPr>
          <w:p w14:paraId="7E43B59C" w14:textId="77777777" w:rsidR="00584340" w:rsidRDefault="00093594">
            <w:pPr>
              <w:jc w:val="center"/>
              <w:rPr>
                <w:rFonts w:ascii="宋体" w:hAnsi="宋体"/>
                <w:color w:val="000000" w:themeColor="text1"/>
                <w:kern w:val="0"/>
                <w:sz w:val="18"/>
                <w:szCs w:val="18"/>
              </w:rPr>
            </w:pPr>
            <w:r>
              <w:rPr>
                <w:rFonts w:ascii="宋体" w:hAnsi="宋体"/>
                <w:color w:val="000000" w:themeColor="text1"/>
                <w:kern w:val="0"/>
                <w:sz w:val="18"/>
                <w:szCs w:val="18"/>
              </w:rPr>
              <w:t xml:space="preserve">GB30720-2014 </w:t>
            </w:r>
          </w:p>
          <w:p w14:paraId="069B178A"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 xml:space="preserve">第 </w:t>
            </w:r>
            <w:r>
              <w:rPr>
                <w:rFonts w:ascii="宋体" w:hAnsi="宋体"/>
                <w:color w:val="000000" w:themeColor="text1"/>
                <w:kern w:val="0"/>
                <w:sz w:val="18"/>
                <w:szCs w:val="18"/>
              </w:rPr>
              <w:t xml:space="preserve">4.2 </w:t>
            </w:r>
            <w:r>
              <w:rPr>
                <w:rFonts w:ascii="宋体" w:hAnsi="宋体" w:hint="eastAsia"/>
                <w:color w:val="000000" w:themeColor="text1"/>
                <w:kern w:val="0"/>
                <w:sz w:val="18"/>
                <w:szCs w:val="18"/>
              </w:rPr>
              <w:t>项</w:t>
            </w:r>
          </w:p>
          <w:p w14:paraId="06E2B1F9" w14:textId="77777777" w:rsidR="00584340" w:rsidRDefault="00584340">
            <w:pPr>
              <w:jc w:val="center"/>
              <w:rPr>
                <w:rFonts w:ascii="宋体" w:hAnsi="宋体"/>
                <w:color w:val="000000" w:themeColor="text1"/>
                <w:kern w:val="0"/>
                <w:sz w:val="18"/>
                <w:szCs w:val="18"/>
              </w:rPr>
            </w:pPr>
          </w:p>
        </w:tc>
        <w:tc>
          <w:tcPr>
            <w:tcW w:w="2954" w:type="dxa"/>
            <w:vAlign w:val="center"/>
          </w:tcPr>
          <w:p w14:paraId="41D250B5"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台式灶 ≥73%</w:t>
            </w:r>
          </w:p>
          <w:p w14:paraId="3C6F12E2"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嵌入式灶≥70%</w:t>
            </w:r>
          </w:p>
        </w:tc>
        <w:tc>
          <w:tcPr>
            <w:tcW w:w="3002" w:type="dxa"/>
            <w:vAlign w:val="center"/>
          </w:tcPr>
          <w:p w14:paraId="0C344DDC"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三级能效：</w:t>
            </w:r>
          </w:p>
          <w:p w14:paraId="4D9B97A9"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台式灶 ≥58%</w:t>
            </w:r>
          </w:p>
          <w:p w14:paraId="651604B6"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嵌入式灶≥55%</w:t>
            </w:r>
          </w:p>
        </w:tc>
      </w:tr>
      <w:tr w:rsidR="00584340" w14:paraId="6D004F7F" w14:textId="77777777">
        <w:trPr>
          <w:trHeight w:val="1211"/>
          <w:jc w:val="center"/>
        </w:trPr>
        <w:tc>
          <w:tcPr>
            <w:tcW w:w="416" w:type="dxa"/>
            <w:vAlign w:val="center"/>
          </w:tcPr>
          <w:p w14:paraId="0A0BDF20"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6</w:t>
            </w:r>
          </w:p>
        </w:tc>
        <w:tc>
          <w:tcPr>
            <w:tcW w:w="1337" w:type="dxa"/>
            <w:vAlign w:val="center"/>
          </w:tcPr>
          <w:p w14:paraId="047B8B3F" w14:textId="77777777" w:rsidR="00584340" w:rsidRDefault="00093594">
            <w:pPr>
              <w:jc w:val="center"/>
              <w:rPr>
                <w:rFonts w:ascii="宋体" w:hAnsi="宋体" w:cs="宋体"/>
                <w:kern w:val="0"/>
                <w:sz w:val="18"/>
                <w:szCs w:val="18"/>
              </w:rPr>
            </w:pPr>
            <w:r>
              <w:rPr>
                <w:rFonts w:ascii="宋体" w:hAnsi="宋体" w:cs="宋体" w:hint="eastAsia"/>
                <w:kern w:val="0"/>
                <w:sz w:val="18"/>
                <w:szCs w:val="18"/>
              </w:rPr>
              <w:t>烟气中CO含量（理论空气系数α=1，0-2气）</w:t>
            </w:r>
          </w:p>
        </w:tc>
        <w:tc>
          <w:tcPr>
            <w:tcW w:w="1405" w:type="dxa"/>
            <w:vAlign w:val="center"/>
          </w:tcPr>
          <w:p w14:paraId="1299A158" w14:textId="77777777" w:rsidR="00584340" w:rsidRDefault="00093594">
            <w:pPr>
              <w:jc w:val="center"/>
              <w:rPr>
                <w:rFonts w:ascii="宋体" w:hAnsi="宋体" w:cs="宋体"/>
                <w:kern w:val="0"/>
                <w:sz w:val="18"/>
                <w:szCs w:val="18"/>
              </w:rPr>
            </w:pPr>
            <w:r>
              <w:rPr>
                <w:rFonts w:ascii="宋体" w:hAnsi="宋体" w:cs="宋体"/>
                <w:kern w:val="0"/>
                <w:sz w:val="18"/>
                <w:szCs w:val="18"/>
              </w:rPr>
              <w:t>GB16410-20</w:t>
            </w:r>
            <w:r>
              <w:rPr>
                <w:rFonts w:ascii="宋体" w:hAnsi="宋体" w:cs="宋体" w:hint="eastAsia"/>
                <w:kern w:val="0"/>
                <w:sz w:val="18"/>
                <w:szCs w:val="18"/>
              </w:rPr>
              <w:t>20</w:t>
            </w:r>
            <w:r>
              <w:rPr>
                <w:rFonts w:ascii="宋体" w:hAnsi="宋体" w:cs="宋体"/>
                <w:kern w:val="0"/>
                <w:sz w:val="18"/>
                <w:szCs w:val="18"/>
              </w:rPr>
              <w:t xml:space="preserve"> </w:t>
            </w:r>
          </w:p>
          <w:p w14:paraId="2ACF5BF3" w14:textId="77777777" w:rsidR="00584340" w:rsidRDefault="00093594">
            <w:pPr>
              <w:jc w:val="center"/>
              <w:rPr>
                <w:rFonts w:ascii="宋体" w:hAnsi="宋体" w:cs="宋体"/>
                <w:kern w:val="0"/>
                <w:sz w:val="18"/>
                <w:szCs w:val="18"/>
              </w:rPr>
            </w:pPr>
            <w:r>
              <w:rPr>
                <w:rFonts w:ascii="宋体" w:hAnsi="宋体" w:cs="宋体" w:hint="eastAsia"/>
                <w:kern w:val="0"/>
                <w:sz w:val="18"/>
                <w:szCs w:val="18"/>
              </w:rPr>
              <w:t xml:space="preserve">第 </w:t>
            </w:r>
            <w:r>
              <w:rPr>
                <w:rFonts w:ascii="宋体" w:hAnsi="宋体" w:cs="宋体"/>
                <w:kern w:val="0"/>
                <w:sz w:val="18"/>
                <w:szCs w:val="18"/>
              </w:rPr>
              <w:t xml:space="preserve">5.2.3 </w:t>
            </w:r>
            <w:r>
              <w:rPr>
                <w:rFonts w:ascii="宋体" w:hAnsi="宋体" w:cs="宋体" w:hint="eastAsia"/>
                <w:kern w:val="0"/>
                <w:sz w:val="18"/>
                <w:szCs w:val="18"/>
              </w:rPr>
              <w:t>项</w:t>
            </w:r>
            <w:r>
              <w:rPr>
                <w:rFonts w:ascii="宋体" w:hAnsi="宋体" w:cs="宋体"/>
                <w:kern w:val="0"/>
                <w:sz w:val="18"/>
                <w:szCs w:val="18"/>
              </w:rPr>
              <w:t xml:space="preserve"> </w:t>
            </w:r>
          </w:p>
          <w:p w14:paraId="70074ED8" w14:textId="77777777" w:rsidR="00584340" w:rsidRDefault="00093594">
            <w:pPr>
              <w:jc w:val="center"/>
              <w:rPr>
                <w:rFonts w:ascii="Times New Roman" w:eastAsia="Times New Roman" w:hAnsi="Times New Roman"/>
                <w:kern w:val="0"/>
                <w:sz w:val="18"/>
                <w:szCs w:val="18"/>
              </w:rPr>
            </w:pPr>
            <w:r>
              <w:rPr>
                <w:rFonts w:ascii="宋体" w:hAnsi="宋体" w:cs="宋体" w:hint="eastAsia"/>
                <w:kern w:val="0"/>
                <w:sz w:val="18"/>
                <w:szCs w:val="18"/>
              </w:rPr>
              <w:t xml:space="preserve"> </w:t>
            </w:r>
          </w:p>
        </w:tc>
        <w:tc>
          <w:tcPr>
            <w:tcW w:w="2954" w:type="dxa"/>
            <w:vAlign w:val="center"/>
          </w:tcPr>
          <w:p w14:paraId="63689EF1"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≤0.03%</w:t>
            </w:r>
          </w:p>
        </w:tc>
        <w:tc>
          <w:tcPr>
            <w:tcW w:w="3002" w:type="dxa"/>
            <w:vAlign w:val="center"/>
          </w:tcPr>
          <w:p w14:paraId="3FA661BC"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≤0.05%</w:t>
            </w:r>
          </w:p>
        </w:tc>
      </w:tr>
      <w:tr w:rsidR="00584340" w14:paraId="05DFD151" w14:textId="77777777">
        <w:trPr>
          <w:trHeight w:val="1211"/>
          <w:jc w:val="center"/>
        </w:trPr>
        <w:tc>
          <w:tcPr>
            <w:tcW w:w="416" w:type="dxa"/>
            <w:vAlign w:val="center"/>
          </w:tcPr>
          <w:p w14:paraId="3FF6B20C"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7</w:t>
            </w:r>
          </w:p>
        </w:tc>
        <w:tc>
          <w:tcPr>
            <w:tcW w:w="1337" w:type="dxa"/>
            <w:vAlign w:val="center"/>
          </w:tcPr>
          <w:p w14:paraId="76195A63" w14:textId="77777777" w:rsidR="00584340" w:rsidRDefault="00093594">
            <w:pPr>
              <w:jc w:val="center"/>
              <w:rPr>
                <w:rFonts w:ascii="宋体" w:hAnsi="宋体" w:cs="宋体"/>
                <w:kern w:val="0"/>
                <w:sz w:val="18"/>
                <w:szCs w:val="18"/>
              </w:rPr>
            </w:pPr>
            <w:r>
              <w:rPr>
                <w:rFonts w:ascii="宋体" w:hAnsi="宋体" w:cs="宋体" w:hint="eastAsia"/>
                <w:kern w:val="0"/>
                <w:sz w:val="18"/>
                <w:szCs w:val="18"/>
              </w:rPr>
              <w:t>熄火保护装置（开阀时间、闭阀时间）</w:t>
            </w:r>
          </w:p>
        </w:tc>
        <w:tc>
          <w:tcPr>
            <w:tcW w:w="1405" w:type="dxa"/>
            <w:vAlign w:val="center"/>
          </w:tcPr>
          <w:p w14:paraId="45AD749C" w14:textId="77777777" w:rsidR="00584340" w:rsidRDefault="00093594">
            <w:pPr>
              <w:jc w:val="center"/>
              <w:rPr>
                <w:rFonts w:ascii="宋体" w:hAnsi="宋体" w:cs="宋体"/>
                <w:kern w:val="0"/>
                <w:sz w:val="18"/>
                <w:szCs w:val="18"/>
              </w:rPr>
            </w:pPr>
            <w:r>
              <w:rPr>
                <w:rFonts w:ascii="宋体" w:hAnsi="宋体" w:cs="宋体"/>
                <w:kern w:val="0"/>
                <w:sz w:val="18"/>
                <w:szCs w:val="18"/>
              </w:rPr>
              <w:t>GB16410-20</w:t>
            </w:r>
            <w:r>
              <w:rPr>
                <w:rFonts w:ascii="宋体" w:hAnsi="宋体" w:cs="宋体" w:hint="eastAsia"/>
                <w:kern w:val="0"/>
                <w:sz w:val="18"/>
                <w:szCs w:val="18"/>
              </w:rPr>
              <w:t>20</w:t>
            </w:r>
            <w:r>
              <w:rPr>
                <w:rFonts w:ascii="宋体" w:hAnsi="宋体" w:cs="宋体"/>
                <w:kern w:val="0"/>
                <w:sz w:val="18"/>
                <w:szCs w:val="18"/>
              </w:rPr>
              <w:t xml:space="preserve"> </w:t>
            </w:r>
          </w:p>
          <w:p w14:paraId="2A5F6D33" w14:textId="77777777" w:rsidR="00584340" w:rsidRDefault="00093594">
            <w:pPr>
              <w:jc w:val="center"/>
              <w:rPr>
                <w:rFonts w:ascii="宋体" w:hAnsi="宋体" w:cs="宋体"/>
                <w:kern w:val="0"/>
                <w:sz w:val="18"/>
                <w:szCs w:val="18"/>
              </w:rPr>
            </w:pPr>
            <w:r>
              <w:rPr>
                <w:rFonts w:ascii="宋体" w:hAnsi="宋体" w:cs="宋体" w:hint="eastAsia"/>
                <w:kern w:val="0"/>
                <w:sz w:val="18"/>
                <w:szCs w:val="18"/>
              </w:rPr>
              <w:t xml:space="preserve">第 </w:t>
            </w:r>
            <w:r>
              <w:rPr>
                <w:rFonts w:ascii="宋体" w:hAnsi="宋体" w:cs="宋体"/>
                <w:kern w:val="0"/>
                <w:sz w:val="18"/>
                <w:szCs w:val="18"/>
              </w:rPr>
              <w:t>5.2.</w:t>
            </w:r>
            <w:r>
              <w:rPr>
                <w:rFonts w:ascii="宋体" w:hAnsi="宋体" w:cs="宋体" w:hint="eastAsia"/>
                <w:kern w:val="0"/>
                <w:sz w:val="18"/>
                <w:szCs w:val="18"/>
              </w:rPr>
              <w:t>8</w:t>
            </w:r>
            <w:r>
              <w:rPr>
                <w:rFonts w:ascii="宋体" w:hAnsi="宋体" w:cs="宋体"/>
                <w:kern w:val="0"/>
                <w:sz w:val="18"/>
                <w:szCs w:val="18"/>
              </w:rPr>
              <w:t xml:space="preserve">.1 </w:t>
            </w:r>
            <w:r>
              <w:rPr>
                <w:rFonts w:ascii="宋体" w:hAnsi="宋体" w:cs="宋体" w:hint="eastAsia"/>
                <w:kern w:val="0"/>
                <w:sz w:val="18"/>
                <w:szCs w:val="18"/>
              </w:rPr>
              <w:t>项</w:t>
            </w:r>
            <w:r>
              <w:rPr>
                <w:rFonts w:ascii="宋体" w:hAnsi="宋体" w:cs="宋体"/>
                <w:kern w:val="0"/>
                <w:sz w:val="18"/>
                <w:szCs w:val="18"/>
              </w:rPr>
              <w:t xml:space="preserve"> </w:t>
            </w:r>
          </w:p>
          <w:p w14:paraId="29ECFFEA" w14:textId="77777777" w:rsidR="00584340" w:rsidRDefault="00584340">
            <w:pPr>
              <w:jc w:val="center"/>
              <w:rPr>
                <w:rFonts w:ascii="Times New Roman" w:hAnsi="Times New Roman"/>
                <w:kern w:val="0"/>
                <w:sz w:val="18"/>
                <w:szCs w:val="18"/>
              </w:rPr>
            </w:pPr>
          </w:p>
        </w:tc>
        <w:tc>
          <w:tcPr>
            <w:tcW w:w="2954" w:type="dxa"/>
            <w:vAlign w:val="center"/>
          </w:tcPr>
          <w:p w14:paraId="04228B4E"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开阀时间≤2s</w:t>
            </w:r>
          </w:p>
          <w:p w14:paraId="3C46D3E7"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闭</w:t>
            </w:r>
            <w:proofErr w:type="gramStart"/>
            <w:r>
              <w:rPr>
                <w:rFonts w:ascii="宋体" w:hAnsi="宋体" w:hint="eastAsia"/>
                <w:color w:val="000000" w:themeColor="text1"/>
                <w:kern w:val="0"/>
                <w:sz w:val="18"/>
                <w:szCs w:val="18"/>
              </w:rPr>
              <w:t>阀时间</w:t>
            </w:r>
            <w:proofErr w:type="gramEnd"/>
            <w:r>
              <w:rPr>
                <w:rFonts w:ascii="宋体" w:hAnsi="宋体" w:hint="eastAsia"/>
                <w:color w:val="000000" w:themeColor="text1"/>
                <w:kern w:val="0"/>
                <w:sz w:val="18"/>
                <w:szCs w:val="18"/>
              </w:rPr>
              <w:t>≤25s</w:t>
            </w:r>
          </w:p>
        </w:tc>
        <w:tc>
          <w:tcPr>
            <w:tcW w:w="3002" w:type="dxa"/>
            <w:vAlign w:val="center"/>
          </w:tcPr>
          <w:p w14:paraId="043C10F9"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开阀时间≤10s</w:t>
            </w:r>
          </w:p>
          <w:p w14:paraId="0F63E1F3" w14:textId="77777777" w:rsidR="00584340" w:rsidRDefault="00093594">
            <w:pPr>
              <w:jc w:val="center"/>
              <w:rPr>
                <w:rFonts w:ascii="宋体" w:hAnsi="宋体"/>
                <w:color w:val="000000" w:themeColor="text1"/>
                <w:kern w:val="0"/>
                <w:sz w:val="18"/>
                <w:szCs w:val="18"/>
              </w:rPr>
            </w:pPr>
            <w:r>
              <w:rPr>
                <w:rFonts w:ascii="宋体" w:hAnsi="宋体" w:hint="eastAsia"/>
                <w:color w:val="000000" w:themeColor="text1"/>
                <w:kern w:val="0"/>
                <w:sz w:val="18"/>
                <w:szCs w:val="18"/>
              </w:rPr>
              <w:t>闭</w:t>
            </w:r>
            <w:proofErr w:type="gramStart"/>
            <w:r>
              <w:rPr>
                <w:rFonts w:ascii="宋体" w:hAnsi="宋体" w:hint="eastAsia"/>
                <w:color w:val="000000" w:themeColor="text1"/>
                <w:kern w:val="0"/>
                <w:sz w:val="18"/>
                <w:szCs w:val="18"/>
              </w:rPr>
              <w:t>阀时间</w:t>
            </w:r>
            <w:proofErr w:type="gramEnd"/>
            <w:r>
              <w:rPr>
                <w:rFonts w:ascii="宋体" w:hAnsi="宋体" w:hint="eastAsia"/>
                <w:color w:val="000000" w:themeColor="text1"/>
                <w:kern w:val="0"/>
                <w:sz w:val="18"/>
                <w:szCs w:val="18"/>
              </w:rPr>
              <w:t>≤60s</w:t>
            </w:r>
          </w:p>
        </w:tc>
      </w:tr>
    </w:tbl>
    <w:p w14:paraId="766DC014" w14:textId="77777777" w:rsidR="00584340" w:rsidRDefault="00093594">
      <w:pPr>
        <w:jc w:val="center"/>
        <w:rPr>
          <w:sz w:val="24"/>
          <w:szCs w:val="24"/>
        </w:rPr>
      </w:pPr>
      <w:r>
        <w:rPr>
          <w:rFonts w:hint="eastAsia"/>
          <w:sz w:val="24"/>
          <w:szCs w:val="24"/>
        </w:rPr>
        <w:t>表</w:t>
      </w:r>
      <w:r>
        <w:rPr>
          <w:rFonts w:hint="eastAsia"/>
          <w:sz w:val="24"/>
          <w:szCs w:val="24"/>
        </w:rPr>
        <w:t xml:space="preserve">1 </w:t>
      </w:r>
      <w:r>
        <w:rPr>
          <w:rFonts w:hint="eastAsia"/>
          <w:sz w:val="24"/>
          <w:szCs w:val="24"/>
        </w:rPr>
        <w:t>该标准与国家标准对比</w:t>
      </w:r>
    </w:p>
    <w:p w14:paraId="6B6EAD2F" w14:textId="77777777" w:rsidR="00584340" w:rsidRDefault="00584340">
      <w:pPr>
        <w:jc w:val="center"/>
      </w:pPr>
    </w:p>
    <w:p w14:paraId="0FF6CFE6" w14:textId="77777777" w:rsidR="00584340" w:rsidRDefault="00093594">
      <w:pPr>
        <w:spacing w:line="360" w:lineRule="auto"/>
        <w:ind w:firstLine="465"/>
        <w:jc w:val="left"/>
        <w:rPr>
          <w:rFonts w:asciiTheme="majorEastAsia" w:eastAsiaTheme="majorEastAsia" w:hAnsiTheme="majorEastAsia"/>
          <w:szCs w:val="28"/>
        </w:rPr>
      </w:pPr>
      <w:r>
        <w:rPr>
          <w:rFonts w:asciiTheme="majorEastAsia" w:eastAsiaTheme="majorEastAsia" w:hAnsiTheme="majorEastAsia" w:hint="eastAsia"/>
          <w:szCs w:val="28"/>
        </w:rPr>
        <w:t>本标准所列的部分指标与欧盟标准（EN30）对比情况如下表所示：</w:t>
      </w:r>
    </w:p>
    <w:tbl>
      <w:tblPr>
        <w:tblStyle w:val="ae"/>
        <w:tblW w:w="0" w:type="auto"/>
        <w:jc w:val="center"/>
        <w:tblLook w:val="04A0" w:firstRow="1" w:lastRow="0" w:firstColumn="1" w:lastColumn="0" w:noHBand="0" w:noVBand="1"/>
      </w:tblPr>
      <w:tblGrid>
        <w:gridCol w:w="764"/>
        <w:gridCol w:w="2977"/>
        <w:gridCol w:w="2268"/>
        <w:gridCol w:w="1701"/>
      </w:tblGrid>
      <w:tr w:rsidR="00584340" w14:paraId="3DCD2F8D" w14:textId="77777777">
        <w:trPr>
          <w:jc w:val="center"/>
        </w:trPr>
        <w:tc>
          <w:tcPr>
            <w:tcW w:w="764" w:type="dxa"/>
          </w:tcPr>
          <w:p w14:paraId="0A926CB8"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序号</w:t>
            </w:r>
          </w:p>
        </w:tc>
        <w:tc>
          <w:tcPr>
            <w:tcW w:w="2977" w:type="dxa"/>
          </w:tcPr>
          <w:p w14:paraId="2E61913B"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本标准的部分指标</w:t>
            </w:r>
          </w:p>
        </w:tc>
        <w:tc>
          <w:tcPr>
            <w:tcW w:w="2268" w:type="dxa"/>
          </w:tcPr>
          <w:p w14:paraId="700D5BB9"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欧盟标准相关条款</w:t>
            </w:r>
          </w:p>
        </w:tc>
        <w:tc>
          <w:tcPr>
            <w:tcW w:w="1701" w:type="dxa"/>
          </w:tcPr>
          <w:p w14:paraId="4B84B980"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备注</w:t>
            </w:r>
          </w:p>
        </w:tc>
      </w:tr>
      <w:tr w:rsidR="00584340" w14:paraId="0C0B8BC4" w14:textId="77777777">
        <w:trPr>
          <w:jc w:val="center"/>
        </w:trPr>
        <w:tc>
          <w:tcPr>
            <w:tcW w:w="764" w:type="dxa"/>
          </w:tcPr>
          <w:p w14:paraId="03A61C14"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1</w:t>
            </w:r>
          </w:p>
        </w:tc>
        <w:tc>
          <w:tcPr>
            <w:tcW w:w="2977" w:type="dxa"/>
          </w:tcPr>
          <w:p w14:paraId="168FD54E"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自动控制阀门气密性能（低压检测）</w:t>
            </w:r>
          </w:p>
        </w:tc>
        <w:tc>
          <w:tcPr>
            <w:tcW w:w="2268" w:type="dxa"/>
          </w:tcPr>
          <w:p w14:paraId="26F6C0FE"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无</w:t>
            </w:r>
          </w:p>
        </w:tc>
        <w:tc>
          <w:tcPr>
            <w:tcW w:w="1701" w:type="dxa"/>
          </w:tcPr>
          <w:p w14:paraId="635697D4" w14:textId="77777777" w:rsidR="00584340" w:rsidRDefault="00584340">
            <w:pPr>
              <w:spacing w:line="360" w:lineRule="auto"/>
              <w:jc w:val="left"/>
              <w:rPr>
                <w:rFonts w:asciiTheme="majorEastAsia" w:eastAsiaTheme="majorEastAsia" w:hAnsiTheme="majorEastAsia"/>
                <w:sz w:val="21"/>
                <w:szCs w:val="21"/>
              </w:rPr>
            </w:pPr>
          </w:p>
        </w:tc>
      </w:tr>
      <w:tr w:rsidR="00584340" w14:paraId="76CB0F63" w14:textId="77777777">
        <w:trPr>
          <w:jc w:val="center"/>
        </w:trPr>
        <w:tc>
          <w:tcPr>
            <w:tcW w:w="764" w:type="dxa"/>
          </w:tcPr>
          <w:p w14:paraId="31FD9953"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2</w:t>
            </w:r>
          </w:p>
        </w:tc>
        <w:tc>
          <w:tcPr>
            <w:tcW w:w="2977" w:type="dxa"/>
          </w:tcPr>
          <w:p w14:paraId="68EFC4B0"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电点火装置（点10次，10次均点燃，无爆燃）</w:t>
            </w:r>
          </w:p>
        </w:tc>
        <w:tc>
          <w:tcPr>
            <w:tcW w:w="2268" w:type="dxa"/>
          </w:tcPr>
          <w:p w14:paraId="51599557"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无</w:t>
            </w:r>
          </w:p>
        </w:tc>
        <w:tc>
          <w:tcPr>
            <w:tcW w:w="1701" w:type="dxa"/>
          </w:tcPr>
          <w:p w14:paraId="74C2F8AE" w14:textId="77777777" w:rsidR="00584340" w:rsidRDefault="00584340">
            <w:pPr>
              <w:spacing w:line="360" w:lineRule="auto"/>
              <w:jc w:val="left"/>
              <w:rPr>
                <w:rFonts w:asciiTheme="majorEastAsia" w:eastAsiaTheme="majorEastAsia" w:hAnsiTheme="majorEastAsia"/>
                <w:sz w:val="21"/>
                <w:szCs w:val="21"/>
              </w:rPr>
            </w:pPr>
          </w:p>
        </w:tc>
      </w:tr>
      <w:tr w:rsidR="00584340" w14:paraId="3BE866B3" w14:textId="77777777">
        <w:trPr>
          <w:jc w:val="center"/>
        </w:trPr>
        <w:tc>
          <w:tcPr>
            <w:tcW w:w="764" w:type="dxa"/>
          </w:tcPr>
          <w:p w14:paraId="671A439F"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3</w:t>
            </w:r>
          </w:p>
        </w:tc>
        <w:tc>
          <w:tcPr>
            <w:tcW w:w="2977" w:type="dxa"/>
          </w:tcPr>
          <w:p w14:paraId="75A111EF"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热负荷偏差（</w:t>
            </w:r>
            <w:r>
              <w:rPr>
                <w:rFonts w:ascii="宋体" w:hAnsi="宋体" w:hint="eastAsia"/>
                <w:color w:val="000000" w:themeColor="text1"/>
                <w:kern w:val="0"/>
                <w:sz w:val="18"/>
                <w:szCs w:val="18"/>
              </w:rPr>
              <w:t xml:space="preserve">-3%≤偏差≤+10% </w:t>
            </w:r>
            <w:r>
              <w:rPr>
                <w:rFonts w:asciiTheme="majorEastAsia" w:eastAsiaTheme="majorEastAsia" w:hAnsiTheme="majorEastAsia" w:hint="eastAsia"/>
                <w:sz w:val="21"/>
                <w:szCs w:val="21"/>
              </w:rPr>
              <w:t>）</w:t>
            </w:r>
          </w:p>
        </w:tc>
        <w:tc>
          <w:tcPr>
            <w:tcW w:w="2268" w:type="dxa"/>
          </w:tcPr>
          <w:p w14:paraId="3F3A0299"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按喷嘴大小和额定热负荷的不同，要求偏差从5%至20%不等</w:t>
            </w:r>
          </w:p>
        </w:tc>
        <w:tc>
          <w:tcPr>
            <w:tcW w:w="1701" w:type="dxa"/>
          </w:tcPr>
          <w:p w14:paraId="2F827C54"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本标准超过欧盟要求，尤其对负偏差要求进行了重点提升</w:t>
            </w:r>
          </w:p>
        </w:tc>
      </w:tr>
      <w:tr w:rsidR="00584340" w14:paraId="74526149" w14:textId="77777777">
        <w:trPr>
          <w:jc w:val="center"/>
        </w:trPr>
        <w:tc>
          <w:tcPr>
            <w:tcW w:w="764" w:type="dxa"/>
          </w:tcPr>
          <w:p w14:paraId="5DB8C61B"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4</w:t>
            </w:r>
          </w:p>
        </w:tc>
        <w:tc>
          <w:tcPr>
            <w:tcW w:w="2977" w:type="dxa"/>
          </w:tcPr>
          <w:p w14:paraId="1494D4ED"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热效率（台式灶≥73%，嵌入式灶≥70%）</w:t>
            </w:r>
          </w:p>
        </w:tc>
        <w:tc>
          <w:tcPr>
            <w:tcW w:w="2268" w:type="dxa"/>
          </w:tcPr>
          <w:p w14:paraId="2CB936C8"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单个的无盖板燃烧器，每个燃烧器的热效率应不小于52%</w:t>
            </w:r>
          </w:p>
        </w:tc>
        <w:tc>
          <w:tcPr>
            <w:tcW w:w="1701" w:type="dxa"/>
          </w:tcPr>
          <w:p w14:paraId="5877505A"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热效率测试条件和方法不同，但整体分析本标准</w:t>
            </w:r>
            <w:r>
              <w:rPr>
                <w:rFonts w:asciiTheme="majorEastAsia" w:eastAsiaTheme="majorEastAsia" w:hAnsiTheme="majorEastAsia" w:hint="eastAsia"/>
                <w:sz w:val="21"/>
                <w:szCs w:val="21"/>
              </w:rPr>
              <w:lastRenderedPageBreak/>
              <w:t>先进值要求</w:t>
            </w:r>
            <w:proofErr w:type="gramStart"/>
            <w:r>
              <w:rPr>
                <w:rFonts w:asciiTheme="majorEastAsia" w:eastAsiaTheme="majorEastAsia" w:hAnsiTheme="majorEastAsia" w:hint="eastAsia"/>
                <w:sz w:val="21"/>
                <w:szCs w:val="21"/>
              </w:rPr>
              <w:t>高于欧标</w:t>
            </w:r>
            <w:proofErr w:type="gramEnd"/>
          </w:p>
        </w:tc>
      </w:tr>
      <w:tr w:rsidR="00584340" w14:paraId="3F193263" w14:textId="77777777">
        <w:trPr>
          <w:jc w:val="center"/>
        </w:trPr>
        <w:tc>
          <w:tcPr>
            <w:tcW w:w="764" w:type="dxa"/>
          </w:tcPr>
          <w:p w14:paraId="176B307F"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5</w:t>
            </w:r>
          </w:p>
        </w:tc>
        <w:tc>
          <w:tcPr>
            <w:tcW w:w="2977" w:type="dxa"/>
          </w:tcPr>
          <w:p w14:paraId="06303F19"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烟气中CO含量（≤0.03%）</w:t>
            </w:r>
          </w:p>
        </w:tc>
        <w:tc>
          <w:tcPr>
            <w:tcW w:w="2268" w:type="dxa"/>
          </w:tcPr>
          <w:p w14:paraId="03F15616"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不同试验条件下烟气含量要求0.1%至0.2%不等</w:t>
            </w:r>
          </w:p>
        </w:tc>
        <w:tc>
          <w:tcPr>
            <w:tcW w:w="1701" w:type="dxa"/>
          </w:tcPr>
          <w:p w14:paraId="5C803FB7"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烟气测试条件和方法不同</w:t>
            </w:r>
          </w:p>
        </w:tc>
      </w:tr>
      <w:tr w:rsidR="00584340" w14:paraId="62111919" w14:textId="77777777">
        <w:trPr>
          <w:jc w:val="center"/>
        </w:trPr>
        <w:tc>
          <w:tcPr>
            <w:tcW w:w="764" w:type="dxa"/>
          </w:tcPr>
          <w:p w14:paraId="44AED0D0"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6</w:t>
            </w:r>
          </w:p>
        </w:tc>
        <w:tc>
          <w:tcPr>
            <w:tcW w:w="2977" w:type="dxa"/>
          </w:tcPr>
          <w:p w14:paraId="018D9508"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熄火保护装置（开阀时间≤2s，闭</w:t>
            </w:r>
            <w:proofErr w:type="gramStart"/>
            <w:r>
              <w:rPr>
                <w:rFonts w:asciiTheme="majorEastAsia" w:eastAsiaTheme="majorEastAsia" w:hAnsiTheme="majorEastAsia" w:hint="eastAsia"/>
                <w:sz w:val="21"/>
                <w:szCs w:val="21"/>
              </w:rPr>
              <w:t>阀时间</w:t>
            </w:r>
            <w:proofErr w:type="gramEnd"/>
            <w:r>
              <w:rPr>
                <w:rFonts w:asciiTheme="majorEastAsia" w:eastAsiaTheme="majorEastAsia" w:hAnsiTheme="majorEastAsia" w:hint="eastAsia"/>
                <w:sz w:val="21"/>
                <w:szCs w:val="21"/>
              </w:rPr>
              <w:t>≤25s）</w:t>
            </w:r>
          </w:p>
        </w:tc>
        <w:tc>
          <w:tcPr>
            <w:tcW w:w="2268" w:type="dxa"/>
          </w:tcPr>
          <w:p w14:paraId="2F9B02BD"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熄火保护装置：开阀时间≤10s，闭阀时间：对于放置</w:t>
            </w:r>
            <w:proofErr w:type="gramStart"/>
            <w:r>
              <w:rPr>
                <w:rFonts w:asciiTheme="majorEastAsia" w:eastAsiaTheme="majorEastAsia" w:hAnsiTheme="majorEastAsia" w:hint="eastAsia"/>
                <w:sz w:val="21"/>
                <w:szCs w:val="21"/>
              </w:rPr>
              <w:t>于室仓之内</w:t>
            </w:r>
            <w:proofErr w:type="gramEnd"/>
            <w:r>
              <w:rPr>
                <w:rFonts w:asciiTheme="majorEastAsia" w:eastAsiaTheme="majorEastAsia" w:hAnsiTheme="majorEastAsia" w:hint="eastAsia"/>
                <w:sz w:val="21"/>
                <w:szCs w:val="21"/>
              </w:rPr>
              <w:t>的燃烧器≤60s，开放式燃烧器≤90s</w:t>
            </w:r>
          </w:p>
        </w:tc>
        <w:tc>
          <w:tcPr>
            <w:tcW w:w="1701" w:type="dxa"/>
          </w:tcPr>
          <w:p w14:paraId="68C4D44A" w14:textId="77777777" w:rsidR="00584340" w:rsidRDefault="00093594">
            <w:pPr>
              <w:spacing w:line="360" w:lineRule="auto"/>
              <w:jc w:val="left"/>
              <w:rPr>
                <w:rFonts w:asciiTheme="majorEastAsia" w:eastAsiaTheme="majorEastAsia" w:hAnsiTheme="majorEastAsia"/>
                <w:sz w:val="21"/>
                <w:szCs w:val="21"/>
              </w:rPr>
            </w:pPr>
            <w:r>
              <w:rPr>
                <w:rFonts w:asciiTheme="majorEastAsia" w:eastAsiaTheme="majorEastAsia" w:hAnsiTheme="majorEastAsia" w:hint="eastAsia"/>
                <w:sz w:val="21"/>
                <w:szCs w:val="21"/>
              </w:rPr>
              <w:t>本标准要求远高于欧盟标准要求</w:t>
            </w:r>
          </w:p>
        </w:tc>
      </w:tr>
    </w:tbl>
    <w:p w14:paraId="44FCC021" w14:textId="77777777" w:rsidR="00584340" w:rsidRDefault="00093594">
      <w:pPr>
        <w:jc w:val="center"/>
        <w:rPr>
          <w:sz w:val="24"/>
          <w:szCs w:val="24"/>
        </w:rPr>
      </w:pPr>
      <w:r>
        <w:rPr>
          <w:sz w:val="24"/>
          <w:szCs w:val="24"/>
        </w:rPr>
        <w:t>表</w:t>
      </w:r>
      <w:r>
        <w:rPr>
          <w:rFonts w:hint="eastAsia"/>
          <w:sz w:val="24"/>
          <w:szCs w:val="24"/>
        </w:rPr>
        <w:t xml:space="preserve">2 </w:t>
      </w:r>
      <w:r>
        <w:rPr>
          <w:rFonts w:hint="eastAsia"/>
          <w:sz w:val="24"/>
          <w:szCs w:val="24"/>
        </w:rPr>
        <w:t>该标准与国际标准对比</w:t>
      </w:r>
    </w:p>
    <w:p w14:paraId="2F6388FB" w14:textId="77777777" w:rsidR="00584340" w:rsidRDefault="00584340">
      <w:pPr>
        <w:spacing w:line="360" w:lineRule="auto"/>
        <w:jc w:val="left"/>
        <w:rPr>
          <w:rFonts w:asciiTheme="majorEastAsia" w:eastAsiaTheme="majorEastAsia" w:hAnsiTheme="majorEastAsia"/>
          <w:sz w:val="24"/>
          <w:szCs w:val="24"/>
        </w:rPr>
      </w:pPr>
    </w:p>
    <w:sectPr w:rsidR="0058434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806C9" w14:textId="77777777" w:rsidR="006B708F" w:rsidRDefault="006B708F">
      <w:r>
        <w:separator/>
      </w:r>
    </w:p>
  </w:endnote>
  <w:endnote w:type="continuationSeparator" w:id="0">
    <w:p w14:paraId="3E62DBFE" w14:textId="77777777" w:rsidR="006B708F" w:rsidRDefault="006B7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43744"/>
    </w:sdtPr>
    <w:sdtEndPr>
      <w:rPr>
        <w:sz w:val="21"/>
        <w:szCs w:val="21"/>
      </w:rPr>
    </w:sdtEndPr>
    <w:sdtContent>
      <w:p w14:paraId="1D846AE4" w14:textId="77777777" w:rsidR="00584340" w:rsidRDefault="00093594">
        <w:pPr>
          <w:pStyle w:val="a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614A8E" w:rsidRPr="00614A8E">
          <w:rPr>
            <w:noProof/>
            <w:sz w:val="21"/>
            <w:szCs w:val="21"/>
            <w:lang w:val="zh-CN"/>
          </w:rPr>
          <w:t>3</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350A1C" w14:textId="77777777" w:rsidR="006B708F" w:rsidRDefault="006B708F">
      <w:r>
        <w:separator/>
      </w:r>
    </w:p>
  </w:footnote>
  <w:footnote w:type="continuationSeparator" w:id="0">
    <w:p w14:paraId="7F51C99D" w14:textId="77777777" w:rsidR="006B708F" w:rsidRDefault="006B70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A37BC1"/>
    <w:multiLevelType w:val="singleLevel"/>
    <w:tmpl w:val="8DA37BC1"/>
    <w:lvl w:ilvl="0">
      <w:start w:val="5"/>
      <w:numFmt w:val="chineseCounting"/>
      <w:suff w:val="nothing"/>
      <w:lvlText w:val="%1、"/>
      <w:lvlJc w:val="left"/>
      <w:rPr>
        <w:rFonts w:hint="eastAsia"/>
      </w:rPr>
    </w:lvl>
  </w:abstractNum>
  <w:abstractNum w:abstractNumId="1" w15:restartNumberingAfterBreak="0">
    <w:nsid w:val="16101FC1"/>
    <w:multiLevelType w:val="hybridMultilevel"/>
    <w:tmpl w:val="B5C4D1EC"/>
    <w:lvl w:ilvl="0" w:tplc="643CE4C4">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MTgyY2Y5Y2UxZjkwY2NiYzg1MTM4ZmQzOTFhYWJhY2IifQ=="/>
  </w:docVars>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594"/>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AF9"/>
    <w:rsid w:val="002D5098"/>
    <w:rsid w:val="002D519C"/>
    <w:rsid w:val="002D5570"/>
    <w:rsid w:val="002D55AD"/>
    <w:rsid w:val="002D5786"/>
    <w:rsid w:val="002D5880"/>
    <w:rsid w:val="002D5A15"/>
    <w:rsid w:val="002D5B3F"/>
    <w:rsid w:val="002D5D5E"/>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91B"/>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0C"/>
    <w:rsid w:val="003803FF"/>
    <w:rsid w:val="00380453"/>
    <w:rsid w:val="0038050C"/>
    <w:rsid w:val="00380962"/>
    <w:rsid w:val="00380986"/>
    <w:rsid w:val="00380D88"/>
    <w:rsid w:val="003810A0"/>
    <w:rsid w:val="003817B7"/>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29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C1E"/>
    <w:rsid w:val="00484F40"/>
    <w:rsid w:val="0048508B"/>
    <w:rsid w:val="00485213"/>
    <w:rsid w:val="0048535C"/>
    <w:rsid w:val="0048569A"/>
    <w:rsid w:val="0048597A"/>
    <w:rsid w:val="00486209"/>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40"/>
    <w:rsid w:val="005843E8"/>
    <w:rsid w:val="00584439"/>
    <w:rsid w:val="005845B7"/>
    <w:rsid w:val="00584856"/>
    <w:rsid w:val="005848FC"/>
    <w:rsid w:val="00584909"/>
    <w:rsid w:val="00584BDA"/>
    <w:rsid w:val="00584E59"/>
    <w:rsid w:val="00585300"/>
    <w:rsid w:val="00585752"/>
    <w:rsid w:val="005858A2"/>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A8E"/>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C4A"/>
    <w:rsid w:val="00686FB4"/>
    <w:rsid w:val="00686FE3"/>
    <w:rsid w:val="00687385"/>
    <w:rsid w:val="006874EC"/>
    <w:rsid w:val="0068760C"/>
    <w:rsid w:val="00687721"/>
    <w:rsid w:val="00687730"/>
    <w:rsid w:val="00687A02"/>
    <w:rsid w:val="006900FB"/>
    <w:rsid w:val="006907FF"/>
    <w:rsid w:val="0069090F"/>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67E"/>
    <w:rsid w:val="006967DE"/>
    <w:rsid w:val="006969F5"/>
    <w:rsid w:val="00696ACE"/>
    <w:rsid w:val="006970FD"/>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08F"/>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66B"/>
    <w:rsid w:val="007977E3"/>
    <w:rsid w:val="00797A76"/>
    <w:rsid w:val="00797C43"/>
    <w:rsid w:val="007A0583"/>
    <w:rsid w:val="007A07CB"/>
    <w:rsid w:val="007A0D30"/>
    <w:rsid w:val="007A0ED9"/>
    <w:rsid w:val="007A0F4A"/>
    <w:rsid w:val="007A1056"/>
    <w:rsid w:val="007A11F7"/>
    <w:rsid w:val="007A129D"/>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5C2"/>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C17"/>
    <w:rsid w:val="007E2D74"/>
    <w:rsid w:val="007E3BCF"/>
    <w:rsid w:val="007E402F"/>
    <w:rsid w:val="007E42A6"/>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2B1"/>
    <w:rsid w:val="008314CE"/>
    <w:rsid w:val="00831900"/>
    <w:rsid w:val="00831B1C"/>
    <w:rsid w:val="00831BF0"/>
    <w:rsid w:val="00831CD4"/>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A92"/>
    <w:rsid w:val="00934A98"/>
    <w:rsid w:val="00934A9A"/>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32B"/>
    <w:rsid w:val="009E43B3"/>
    <w:rsid w:val="009E44B7"/>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2E8"/>
    <w:rsid w:val="009F7396"/>
    <w:rsid w:val="009F73E2"/>
    <w:rsid w:val="009F7921"/>
    <w:rsid w:val="009F7A08"/>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971"/>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E9B"/>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1CF"/>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9BB"/>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BF8"/>
    <w:rsid w:val="00FE3DB9"/>
    <w:rsid w:val="00FE3E84"/>
    <w:rsid w:val="00FE3FC8"/>
    <w:rsid w:val="00FE40F5"/>
    <w:rsid w:val="00FE4290"/>
    <w:rsid w:val="00FE47F4"/>
    <w:rsid w:val="00FE4AFA"/>
    <w:rsid w:val="00FE5090"/>
    <w:rsid w:val="00FE513B"/>
    <w:rsid w:val="00FE51CA"/>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58E00203"/>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938F6"/>
  <w15:docId w15:val="{83AD33B0-F044-427D-846C-45F15D590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heme="minorHAnsi" w:eastAsiaTheme="minorEastAsia" w:hAnsiTheme="minorHAnsi" w:cstheme="minorBidi"/>
      <w:kern w:val="2"/>
      <w:sz w:val="28"/>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a5"/>
    <w:uiPriority w:val="99"/>
    <w:semiHidden/>
    <w:unhideWhenUsed/>
    <w:qFormat/>
    <w:pPr>
      <w:ind w:leftChars="2500" w:left="100"/>
    </w:pPr>
  </w:style>
  <w:style w:type="paragraph" w:styleId="a6">
    <w:name w:val="Balloon Text"/>
    <w:basedOn w:val="a0"/>
    <w:link w:val="a7"/>
    <w:uiPriority w:val="99"/>
    <w:semiHidden/>
    <w:unhideWhenUsed/>
    <w:qFormat/>
    <w:rPr>
      <w:sz w:val="18"/>
      <w:szCs w:val="18"/>
    </w:rPr>
  </w:style>
  <w:style w:type="paragraph" w:styleId="a8">
    <w:name w:val="footer"/>
    <w:basedOn w:val="a0"/>
    <w:link w:val="a9"/>
    <w:uiPriority w:val="99"/>
    <w:unhideWhenUsed/>
    <w:pPr>
      <w:tabs>
        <w:tab w:val="center" w:pos="4153"/>
        <w:tab w:val="right" w:pos="8306"/>
      </w:tabs>
      <w:snapToGrid w:val="0"/>
      <w:jc w:val="left"/>
    </w:pPr>
    <w:rPr>
      <w:sz w:val="18"/>
      <w:szCs w:val="18"/>
    </w:rPr>
  </w:style>
  <w:style w:type="paragraph" w:styleId="aa">
    <w:name w:val="header"/>
    <w:basedOn w:val="a0"/>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Title"/>
    <w:basedOn w:val="a0"/>
    <w:next w:val="a0"/>
    <w:link w:val="ad"/>
    <w:uiPriority w:val="10"/>
    <w:qFormat/>
    <w:pPr>
      <w:spacing w:before="240" w:after="60"/>
      <w:jc w:val="center"/>
      <w:outlineLvl w:val="0"/>
    </w:pPr>
    <w:rPr>
      <w:rFonts w:asciiTheme="majorHAnsi" w:eastAsiaTheme="majorEastAsia" w:hAnsiTheme="majorHAnsi" w:cstheme="majorBidi"/>
      <w:b/>
      <w:bCs/>
      <w:sz w:val="32"/>
      <w:szCs w:val="32"/>
    </w:rPr>
  </w:style>
  <w:style w:type="table" w:styleId="ae">
    <w:name w:val="Table Grid"/>
    <w:basedOn w:val="a2"/>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日期 字符"/>
    <w:basedOn w:val="a1"/>
    <w:link w:val="a4"/>
    <w:uiPriority w:val="99"/>
    <w:semiHidden/>
    <w:qFormat/>
  </w:style>
  <w:style w:type="character" w:customStyle="1" w:styleId="a7">
    <w:name w:val="批注框文本 字符"/>
    <w:basedOn w:val="a1"/>
    <w:link w:val="a6"/>
    <w:uiPriority w:val="99"/>
    <w:semiHidden/>
    <w:rPr>
      <w:sz w:val="18"/>
      <w:szCs w:val="18"/>
    </w:rPr>
  </w:style>
  <w:style w:type="character" w:customStyle="1" w:styleId="ab">
    <w:name w:val="页眉 字符"/>
    <w:basedOn w:val="a1"/>
    <w:link w:val="aa"/>
    <w:uiPriority w:val="99"/>
    <w:qFormat/>
    <w:rPr>
      <w:sz w:val="18"/>
      <w:szCs w:val="18"/>
    </w:rPr>
  </w:style>
  <w:style w:type="character" w:customStyle="1" w:styleId="a9">
    <w:name w:val="页脚 字符"/>
    <w:basedOn w:val="a1"/>
    <w:link w:val="a8"/>
    <w:uiPriority w:val="99"/>
    <w:qFormat/>
    <w:rPr>
      <w:sz w:val="18"/>
      <w:szCs w:val="18"/>
    </w:rPr>
  </w:style>
  <w:style w:type="paragraph" w:customStyle="1" w:styleId="af">
    <w:name w:val="字母编号列项（一级）"/>
    <w:qFormat/>
    <w:pPr>
      <w:jc w:val="both"/>
    </w:pPr>
    <w:rPr>
      <w:rFonts w:ascii="宋体"/>
      <w:sz w:val="21"/>
    </w:rPr>
  </w:style>
  <w:style w:type="paragraph" w:customStyle="1" w:styleId="af0">
    <w:name w:val="章标题"/>
    <w:next w:val="af1"/>
    <w:qFormat/>
    <w:pPr>
      <w:spacing w:beforeLines="100" w:afterLines="100"/>
      <w:jc w:val="both"/>
      <w:outlineLvl w:val="1"/>
    </w:pPr>
    <w:rPr>
      <w:rFonts w:ascii="黑体"/>
      <w:b/>
      <w:sz w:val="30"/>
    </w:rPr>
  </w:style>
  <w:style w:type="paragraph" w:customStyle="1" w:styleId="a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0"/>
    <w:uiPriority w:val="1"/>
    <w:qFormat/>
    <w:pPr>
      <w:jc w:val="left"/>
    </w:pPr>
    <w:rPr>
      <w:kern w:val="0"/>
      <w:sz w:val="22"/>
      <w:lang w:eastAsia="en-US"/>
    </w:rPr>
  </w:style>
  <w:style w:type="paragraph" w:customStyle="1" w:styleId="a">
    <w:name w:val="附录标识"/>
    <w:basedOn w:val="a0"/>
    <w:next w:val="af1"/>
    <w:qFormat/>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
    <w:name w:val="段 Char"/>
    <w:link w:val="af1"/>
    <w:qFormat/>
    <w:rPr>
      <w:rFonts w:ascii="宋体"/>
      <w:sz w:val="21"/>
    </w:rPr>
  </w:style>
  <w:style w:type="paragraph" w:styleId="af2">
    <w:name w:val="List Paragraph"/>
    <w:basedOn w:val="a0"/>
    <w:uiPriority w:val="34"/>
    <w:qFormat/>
    <w:pPr>
      <w:spacing w:line="300" w:lineRule="auto"/>
      <w:ind w:firstLineChars="200" w:firstLine="420"/>
    </w:pPr>
    <w:rPr>
      <w:rFonts w:ascii="Calibri" w:eastAsia="宋体" w:hAnsi="Calibri" w:cs="Times New Roman"/>
      <w:szCs w:val="21"/>
    </w:rPr>
  </w:style>
  <w:style w:type="paragraph" w:customStyle="1" w:styleId="1">
    <w:name w:val="列出段落1"/>
    <w:basedOn w:val="a0"/>
    <w:uiPriority w:val="34"/>
    <w:qFormat/>
    <w:pPr>
      <w:spacing w:line="300" w:lineRule="auto"/>
      <w:ind w:firstLineChars="200" w:firstLine="420"/>
    </w:pPr>
    <w:rPr>
      <w:rFonts w:ascii="Calibri" w:eastAsia="宋体" w:hAnsi="Calibri" w:cs="Times New Roman"/>
      <w:szCs w:val="21"/>
    </w:rPr>
  </w:style>
  <w:style w:type="paragraph" w:styleId="af3">
    <w:name w:val="No Spacing"/>
    <w:uiPriority w:val="1"/>
    <w:qFormat/>
    <w:pPr>
      <w:widowControl w:val="0"/>
      <w:jc w:val="both"/>
    </w:pPr>
    <w:rPr>
      <w:rFonts w:asciiTheme="minorHAnsi" w:eastAsiaTheme="minorEastAsia" w:hAnsiTheme="minorHAnsi" w:cstheme="minorBidi"/>
      <w:kern w:val="2"/>
      <w:sz w:val="21"/>
      <w:szCs w:val="22"/>
    </w:rPr>
  </w:style>
  <w:style w:type="character" w:customStyle="1" w:styleId="ad">
    <w:name w:val="标题 字符"/>
    <w:basedOn w:val="a1"/>
    <w:link w:val="ac"/>
    <w:uiPriority w:val="10"/>
    <w:qFormat/>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848E0-F97F-4FB5-B8BB-E66900FF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381</Words>
  <Characters>2177</Characters>
  <Application>Microsoft Office Word</Application>
  <DocSecurity>0</DocSecurity>
  <Lines>18</Lines>
  <Paragraphs>5</Paragraphs>
  <ScaleCrop>false</ScaleCrop>
  <Company>Microsoft</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libo</dc:creator>
  <cp:keywords/>
  <dc:description/>
  <cp:lastModifiedBy>磊 王</cp:lastModifiedBy>
  <cp:revision>3</cp:revision>
  <dcterms:created xsi:type="dcterms:W3CDTF">2019-09-06T01:34:00Z</dcterms:created>
  <dcterms:modified xsi:type="dcterms:W3CDTF">2022-07-22T07:43:00Z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67F5C904394B40259BFF98D43F3D8B60</vt:lpwstr>
  </property>
</Properties>
</file>